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VStDÜV — Anwendungsbereich</w:t>
      </w:r>
    </w:p>
    <w:p>
      <w:r>
        <w:rPr>
          <w:color w:val="555555"/>
          <w:sz w:val="18"/>
        </w:rPr>
        <w:t xml:space="preserve">Verbrauch-und-Luftverkehrsteuerdaten-Übermittlungs-Verordnung</w:t>
      </w:r>
    </w:p>
    <w:p>
      <w:r>
        <w:rPr>
          <w:color w:val="555555"/>
          <w:sz w:val="18"/>
        </w:rPr>
        <w:t xml:space="preserve">Stand: 09.11.2022 (konsolidierte Textfassung, kein amtliches Inkrafttretensdatum)</w:t>
      </w:r>
    </w:p>
    <w:p>
      <w:r>
        <w:t xml:space="preserve">(1) Diese Verordnung gilt für die elektronische Übermittlung von Erklärungen der besonderen Verbrauchsteuern und der Luftverkehrsteuer an die Zollverwaltung im Rahmen der folgenden Gesetze oder Verordnungen:</w:t>
      </w:r>
    </w:p>
    <w:p>
      <w:pPr>
        <w:ind w:left="420"/>
      </w:pPr>
      <w:r>
        <w:t xml:space="preserve">1. Energiesteuergesetz und Energiesteuer-Durchführungsverordnung,</w:t>
      </w:r>
    </w:p>
    <w:p>
      <w:pPr>
        <w:ind w:left="420"/>
      </w:pPr>
      <w:r>
        <w:t xml:space="preserve">2. Stromsteuergesetz und Stromsteuer-Durchführungsverordnung,</w:t>
      </w:r>
    </w:p>
    <w:p>
      <w:pPr>
        <w:ind w:left="420"/>
      </w:pPr>
      <w:r>
        <w:t xml:space="preserve">3. Tabaksteuergesetz und Tabaksteuerverordnung,</w:t>
      </w:r>
    </w:p>
    <w:p>
      <w:pPr>
        <w:ind w:left="420"/>
      </w:pPr>
      <w:r>
        <w:t xml:space="preserve">4. Schaumwein- und Zwischenerzeugnissteuergesetz und Schaumwein- und Zwischenerzeugnissteuerverordnung,</w:t>
      </w:r>
    </w:p>
    <w:p>
      <w:pPr>
        <w:ind w:left="420"/>
      </w:pPr>
      <w:r>
        <w:t xml:space="preserve">5. Biersteuergesetz und Biersteuerverordnung</w:t>
      </w:r>
    </w:p>
    <w:p>
      <w:pPr>
        <w:ind w:left="420"/>
      </w:pPr>
      <w:r>
        <w:t xml:space="preserve">6. Kaffeesteuergesetz und Kaffeesteuerverordnung,</w:t>
      </w:r>
    </w:p>
    <w:p>
      <w:pPr>
        <w:ind w:left="420"/>
      </w:pPr>
      <w:r>
        <w:t xml:space="preserve">7. Alkoholsteuergesetz und Alkoholsteuerverordnung,</w:t>
      </w:r>
    </w:p>
    <w:p>
      <w:pPr>
        <w:ind w:left="420"/>
      </w:pPr>
      <w:r>
        <w:t xml:space="preserve">8. Alkopopsteuergesetz,</w:t>
      </w:r>
    </w:p>
    <w:p>
      <w:pPr>
        <w:ind w:left="420"/>
      </w:pPr>
      <w:r>
        <w:t xml:space="preserve">9. Luftverkehrsteuergesetz und Luftverkehrsteuer-Durchführungsverordnung.</w:t>
      </w:r>
    </w:p>
    <w:p>
      <w:r>
        <w:t xml:space="preserve">(2) Abweichend von Absatz 1 findet diese Verordnung keine Anwendung auf die elektronische Übermittlung von Erklärungen im Rahmen der Beförderung verbrauchsteuerpflichtiger Waren.</w:t>
      </w:r>
    </w:p>
    <w:p>
      <w:r>
        <w:rPr>
          <w:color w:val="555555"/>
          <w:sz w:val="17"/>
        </w:rPr>
        <w:t xml:space="preserve">Zitiervorschlag: § 1 VStDÜV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https://recht.nulegal.eu/gesetze/VStD%C3%9CV/1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