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VStättV (Bayern)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80 Abs. 1 Satz 1 Nrn. 4 und 6 der Bayerischen Bauordnung (BayBO) in der Fassung der Bekanntmachung vom 14. August 2007 (GVBl S. 588, BayRS 2132-1-I) und Art. 38 Abs. 1 Nrn. 2 bis 4 und Abs. 3 des Gesetzes über das Landesstrafrecht und das Verordnungsrecht auf dem Gebiet der öffentlichen Sicherheit und Ordnung – Landesstraf- und Verordnungsgesetz – LStVG – (BayRS 2011-2-I), zuletzt geändert durch § 2 des Gesetzes vom 27. Dezember 2004 (GVBl S. 540),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