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VStättV (Bayern) — Versammlungsräume in Kellergeschossen</w:t>
      </w:r>
    </w:p>
    <w:p>
      <w:r>
        <w:rPr>
          <w:color w:val="555555"/>
          <w:sz w:val="18"/>
        </w:rPr>
        <w:t xml:space="preserve">Versammlungsstättenverordnung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Versammlungsräume in Kellergeschossen sind unzulässig, wenn</w:t>
      </w:r>
    </w:p>
    <w:p>
      <w:r>
        <w:t xml:space="preserve">1. ihre Fußbodenoberfläche tiefer als 5 m unter der natürlichen oder festgelegten Geländeoberfläche liegt oder</w:t>
      </w:r>
    </w:p>
    <w:p>
      <w:r>
        <w:t xml:space="preserve">2. sie mit Bühnen oder Szenenflächen von mehr als 100 m 2 verbunden sind.</w:t>
      </w:r>
    </w:p>
    <w:p>
      <w:r>
        <w:rPr>
          <w:color w:val="555555"/>
          <w:sz w:val="17"/>
        </w:rPr>
        <w:t xml:space="preserve">Zitiervorschlag: § 3 VStättV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https://recht.nulegal.eu/gesetze/VSt%C3%A4ttV/3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