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VStättV (Bayern) — Wellenbrecher</w:t>
      </w:r>
    </w:p>
    <w:p>
      <w:r>
        <w:rPr>
          <w:color w:val="555555"/>
          <w:sz w:val="18"/>
        </w:rPr>
        <w:t xml:space="preserve">Versammlungsstättenverordnung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Werden mehr als fünf Stufen von Stehplatzreihen hintereinander angeordnet, so ist vor der vordersten Stufe eine durchgehende Schranke von 1,10 m Höhe anzuordnen. Nach jeweils fünf weiteren Stufen sind Schranken gleicher Höhe (Wellenbrecher) anzubringen, die einzeln mindestens 3 m und höchstens 5,50 m lang sind. Die seitlichen Abstände zwischen den Wellenbrechern dürfen nicht mehr als 5 m betragen. Die Abstände sind nach höchstens fünf Stehplatzreihen durch versetzt angeordnete Wellenbrecher zu überdecken, die auf beiden Seiten mindestens 0,25 m länger sein müssen als die seitlichen Abstände zwischen den Wellenbrechern. Die Wellenbrecher sind im Bereich der Stufenvorderkante anzuordnen.</w:t>
      </w:r>
    </w:p>
    <w:p>
      <w:r>
        <w:rPr>
          <w:color w:val="555555"/>
          <w:sz w:val="17"/>
        </w:rPr>
        <w:t xml:space="preserve">Zitiervorschlag: § 28 VStättV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https://recht.nulegal.eu/gesetze/VSt%C3%A4ttV/28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