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VStättV (Bayern) — Feuerlösch- und Brandmeldeanlagen</w:t>
      </w:r>
    </w:p>
    <w:p>
      <w:r>
        <w:rPr>
          <w:color w:val="555555"/>
          <w:sz w:val="18"/>
        </w:rPr>
        <w:t xml:space="preserve">Versammlungsstättenverordnung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Großbühnen müssen eine automatische Sprühwasserlöschanlage haben, die auch den Schutzvorhang beaufschlagt.</w:t>
      </w:r>
    </w:p>
    <w:p>
      <w:r>
        <w:t xml:space="preserve">(2) Die Sprühwasserlöschanlage muss zusätzlich mindestens von zwei Stellen aus von Hand in Betrieb gesetzt werden können.</w:t>
      </w:r>
    </w:p>
    <w:p>
      <w:r>
        <w:t xml:space="preserve">(3) In Großbühnen müssen neben den Ausgängen zu den Rettungswegen in Höhe der Arbeitsgalerien und des Schnürbodens Wandhydranten vorhanden sein.</w:t>
      </w:r>
    </w:p>
    <w:p>
      <w:r>
        <w:t xml:space="preserve">(4) Großbühnen und Räume mit besonderen Brandgefahren müssen eine Brandmeldeanlage mit automatischen und nichtautomatischen Brandmeldern haben.</w:t>
      </w:r>
    </w:p>
    <w:p>
      <w:r>
        <w:t xml:space="preserve">(5) Die Auslösung eines Alarms muss optisch und akustisch am Platz der Brandsicherheitswache erkennbar sein.</w:t>
      </w:r>
    </w:p>
    <w:p>
      <w:r>
        <w:rPr>
          <w:color w:val="555555"/>
          <w:sz w:val="17"/>
        </w:rPr>
        <w:t xml:space="preserve">Zitiervorschlag: § 24 VStättV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https://recht.nulegal.eu/gesetze/VSt%C3%A4ttV/24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VStättV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