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VStättV (Bayern) — Stellplätze für Menschen mit Behinderung</w:t>
      </w:r>
    </w:p>
    <w:p>
      <w:r>
        <w:rPr>
          <w:color w:val="555555"/>
          <w:sz w:val="18"/>
        </w:rPr>
        <w:t xml:space="preserve">Versammlungsstättenverordnung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Zahl der notwendigen Stellplätze für die Kraftfahrzeuge von Menschen mit Behinderung muss mindestens der Hälfte der Zahl der nach § 10 Abs. 7 erforderlichen Besucherplätze entsprechen. Auf diese Stellplätze ist dauerhaft und leicht erkennbar hinzuweisen.</w:t>
      </w:r>
    </w:p>
    <w:p>
      <w:r>
        <w:rPr>
          <w:color w:val="555555"/>
          <w:sz w:val="17"/>
        </w:rPr>
        <w:t xml:space="preserve">Zitiervorschlag: § 13 VStättV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https://recht.nulegal.eu/gesetze/VSt%C3%A4ttV/13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