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VServiceAusbV — Außerkrafttreten</w:t>
      </w:r>
    </w:p>
    <w:p>
      <w:r>
        <w:rPr>
          <w:color w:val="555555"/>
          <w:sz w:val="18"/>
        </w:rPr>
        <w:t xml:space="preserve">Verordnung über die Berufsausbildung zum Kaufmann für Verkehrsservice/zur Kauffrau für Verkehrsservice</w:t>
      </w:r>
    </w:p>
    <w:p>
      <w:r>
        <w:rPr>
          <w:color w:val="555555"/>
          <w:sz w:val="18"/>
        </w:rPr>
        <w:t xml:space="preserve">Historische Fassung: Stand 23.01.2026 bis 01.08.2026. Dies ist nicht die aktuelle Fassung.</w:t>
      </w:r>
    </w:p>
    <w:p>
      <w:r>
        <w:t xml:space="preserve">Diese Verordnung tritt mit Ablauf des 31. Juli 2026 außer Kraft.</w:t>
      </w:r>
    </w:p>
    <w:p>
      <w:r>
        <w:rPr>
          <w:color w:val="555555"/>
          <w:sz w:val="17"/>
        </w:rPr>
        <w:t xml:space="preserve">Zitiervorschlag: § 9 VServiceAusbV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https://recht.nulegal.eu/gesetze/VServiceAusbV/9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