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VSchwKrSchV — Öffentliche Bekanntmachung</w:t>
      </w:r>
    </w:p>
    <w:p>
      <w:r>
        <w:rPr>
          <w:color w:val="555555"/>
          <w:sz w:val="18"/>
        </w:rPr>
        <w:t xml:space="preserve">Verordnung zum Schutz gegen die Vesikuläre Schweinekrankheit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macht den Ausbruch der Vesikulären Schweinekrankheit öffentlich bekannt.</w:t>
      </w:r>
    </w:p>
    <w:p>
      <w:r>
        <w:rPr>
          <w:color w:val="555555"/>
          <w:sz w:val="17"/>
        </w:rPr>
        <w:t xml:space="preserve">Zitiervorschlag: § 5 VSchwKrSchV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https://recht.nulegal.eu/gesetze/VSchwKrSchV/5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VSchwKrSchV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