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VSchDG — Bußgeldvorschriften</w:t>
      </w:r>
    </w:p>
    <w:p>
      <w:r>
        <w:rPr>
          <w:color w:val="555555"/>
          <w:sz w:val="18"/>
        </w:rPr>
        <w:t xml:space="preserve">EU-Verbraucherschutzdurchführungsgesetz</w:t>
      </w:r>
    </w:p>
    <w:p>
      <w:r>
        <w:rPr>
          <w:color w:val="555555"/>
          <w:sz w:val="18"/>
        </w:rPr>
        <w:t xml:space="preserve">Stand: 03.07.2020 (konsolidierte Textfassung, kein amtliches Inkrafttretensdatum)</w:t>
      </w:r>
    </w:p>
    <w:p>
      <w:r>
        <w:t xml:space="preserve">(1) Ordnungswidrig handelt, wer vorsätzlich oder fahrlässig einer vollziehbaren Anordnung nach Artikel 9 Absatz 3 Buchstabe a, b oder c oder Absatz 4 Buchstabe a, e oder g der Verordnung (EU) 2017/2394 zuwiderhandelt.</w:t>
      </w:r>
    </w:p>
    <w:p>
      <w:r>
        <w:t xml:space="preserve">(2) Die Ordnungswidrigkeit kann mit einer Geldbuße bis zu zehntausend Euro geahndet werden.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9 VSchDG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https://recht.nulegal.eu/gesetze/VSchDG/9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