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VSchDG — Beauftragung Dritter</w:t>
      </w:r>
    </w:p>
    <w:p>
      <w:r>
        <w:rPr>
          <w:color w:val="555555"/>
          <w:sz w:val="18"/>
        </w:rPr>
        <w:t xml:space="preserve">EU-Verbraucherschutzdurchführungsgesetz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Die nach § 2 Nummer 1, 2 oder 2a zuständige Behörde soll bei Vorliegen der Voraussetzungen des Artikels 7 Absatz 1 Satz 2 der Verordnung (EU) 2017/2394 eine in § 3 Abs. 1 Satz 1 Nr. 1 bis 3 des Unterlassungsklagengesetzes oder in § 8 Abs. 3 Nr. 2 bis 4 des Gesetzes gegen den unlauteren Wettbewerb genannte Stelle (beauftragter Dritter) nach Maßgabe der Absätze 2 und 3 beauftragen, nach § 2a des Unterlassungsklagengesetzes, auch in Verbindung mit § 8 Abs. 5 Satz 2 zweiter Halbsatz des Gesetzes gegen den unlauteren Wettbewerb, auf das Abstellen dieser Verstöße hinzuwirken. Der beauftragte Dritte handelt im eigenen Namen.</w:t>
      </w:r>
    </w:p>
    <w:p>
      <w:r>
        <w:t xml:space="preserve">(2) Kommt die zuständige Behörde zu der Überzeugung, dass die ordnungsgemäße Erfüllung der Aufgaben nicht mehr gewährleistet ist, so ist die Beauftragung ohne Entschädigung zu widerrufen.</w:t>
      </w:r>
    </w:p>
    <w:p>
      <w:r>
        <w:t xml:space="preserve">(3) Die zuständige Behörde kann Rahmenvereinbarungen über eine allgemeine Beauftragung nach Absatz 1 unter Beachtung des Absatzes 2 abschließen und den Vertragspartner im Sinne von Artikel 3 Nummer 8 der Verordnung (EU) 2017/2394 benennen (benannter Dritter). Die Rahmenvereinbarung bedarf der Genehmigung der für die zuständige Behörde zuständigen obersten Bundesbehörde. Die Rahmenvereinbarung ist im Bundesanzeiger bekannt zu machen.</w:t>
      </w:r>
    </w:p>
    <w:p>
      <w:r>
        <w:t xml:space="preserve">(4) Die Landesregierungen werden ermächtigt, für ihre Behörden durch Rechtsverordnung den Absätzen 1 bis 3 entsprechende Regelungen zu erlassen. Die Landesregierungen sind befugt, die Ermächtigung nach Satz 1 durch Rechtsverordnung ganz oder teilweise auf andere Behörden des Landes zu übertragen.</w:t>
      </w:r>
    </w:p>
    <w:p>
      <w:r>
        <w:rPr>
          <w:color w:val="555555"/>
          <w:sz w:val="17"/>
        </w:rPr>
        <w:t xml:space="preserve">Zitiervorschlag: § 7 VSchDG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