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VSchDG — Abhilfe bei Verletzung des Anspruchs auf rechtliches Gehör</w:t>
      </w:r>
    </w:p>
    <w:p>
      <w:r>
        <w:rPr>
          <w:color w:val="555555"/>
          <w:sz w:val="18"/>
        </w:rPr>
        <w:t xml:space="preserve">EU-Verbraucherschutzdurchführungsgesetz</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Tage nach Aufgabe zur Post als bekannt gegeben. Die Rüge ist schriftlich oder zur Niederschrift des Urkundsbeamten der Geschäftsstelle bei dem Gericht zu erheben, dessen Entscheidung angegriffen wird.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 Grund der Rüge geboten ist. Das Verfahren wird in die Lage zurückversetzt, in der es sich vor dem Schluss der mündlichen Verhandlung befand. Im schriftlichen Verfahren tritt an die Stelle des Schlusses der mündlichen Verhandlung der Zeitpunkt, bis zu dem Schriftsätze eingereicht werden können. Für den Ausspruch des Gerichts ist § 343 der Zivilprozessordnung anzuwenden.</w:t>
      </w:r>
    </w:p>
    <w:p>
      <w:r>
        <w:t xml:space="preserve">(6) § 149 Abs. 1 Satz 2 der Verwaltungsgerichtsordnung ist entsprechend anzuwenden.</w:t>
      </w:r>
    </w:p>
    <w:p>
      <w:r>
        <w:rPr>
          <w:color w:val="555555"/>
          <w:sz w:val="17"/>
        </w:rPr>
        <w:t xml:space="preserve">Zitiervorschlag: § 28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