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VSchDG — Beschwerdeberechtigte, Form und Frist</w:t>
      </w:r>
    </w:p>
    <w:p>
      <w:r>
        <w:rPr>
          <w:color w:val="555555"/>
          <w:sz w:val="18"/>
        </w:rPr>
        <w:t xml:space="preserve">EU-Verbraucherschutzdurchführungsgesetz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Rechtsbeschwerde steht den am Beschwerdeverfahren Beteiligten zu.</w:t>
      </w:r>
    </w:p>
    <w:p>
      <w:r>
        <w:t xml:space="preserve">(2) Die Rechtsbeschwerde kann nur darauf gestützt werden, dass die Entscheidung auf einer Verletzung des Rechts beruht; die §§ 546 und 547 der Zivilprozessordnung gelten entsprechend.</w:t>
      </w:r>
    </w:p>
    <w:p>
      <w:r>
        <w:t xml:space="preserve">(3) Die Rechtsbeschwerde ist binnen einer Frist von einem Monat schriftlich bei dem Landgericht einzulegen. Die Frist beginnt mit der Zustellung der angefochtenen Entscheidung.</w:t>
      </w:r>
    </w:p>
    <w:p>
      <w:r>
        <w:t xml:space="preserve">(4) Der Bundesgerichtshof ist an die in der angefochtenen Entscheidung getroffenen tatsächlichen Feststellungen gebunden, außer wenn in Bezug auf diese Feststellungen zulässige und begründete Rechtsbeschwerdegründe vorgebracht sind.</w:t>
      </w:r>
    </w:p>
    <w:p>
      <w:r>
        <w:t xml:space="preserve">(5) Für die Rechtsbeschwerde gelten im Übrigen § 14 Abs. 1, § 15 Abs. 2, 3, 4 Nr. 1 und Abs. 5, die §§ 16 bis 18 sowie die §§ 20 bis 22 entsprechend.</w:t>
      </w:r>
    </w:p>
    <w:p>
      <w:r>
        <w:rPr>
          <w:color w:val="555555"/>
          <w:sz w:val="17"/>
        </w:rPr>
        <w:t xml:space="preserve">Zitiervorschlag: § 26 VSchDG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https://recht.nulegal.eu/gesetze/VSchDG/26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