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VSchDG — Beschwerdeentscheidung</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(1) Das Beschwerdegericht entscheidet durch Beschluss nach seiner freien, aus dem Gesamtergebnis des Verfahrens gewonnenen Überzeugung. Der Beschluss darf nur auf Tatsachen und Beweismittel gestützt werden, zu denen die Beteiligten sich äußern konnten. Das Beschwerdegericht kann hiervon abweichen, soweit Beigeladenen aus wichtigen Gründen, insbesondere zur Wahrung von Betriebs- oder Geschäftsgeheimnissen, Akteneinsicht nicht gewährt und der Akteninhalt aus diesen Gründen auch nicht vorgetragen worden ist. Dies gilt nicht für solche Beigeladene, die an dem streitigen Rechtsverhältnis derart beteiligt sind, dass die Entscheidung auch ihnen gegenüber nur einheitlich ergehen kann.</w:t>
      </w:r>
    </w:p>
    <w:p>
      <w:r>
        <w:t xml:space="preserve">(2) Für die Beschwerdeentscheidung gelten § 113 Abs. 1, 3 bis 5 und § 114 der Verwaltungsgerichtsordnung entsprechend.</w:t>
      </w:r>
    </w:p>
    <w:p>
      <w:r>
        <w:t xml:space="preserve">(3) Der Beschluss ist zu begründen und mit einer Rechtsmittelbelehrung den Beteiligten zuzustellen.</w:t>
      </w:r>
    </w:p>
    <w:p>
      <w:r>
        <w:rPr>
          <w:color w:val="555555"/>
          <w:sz w:val="17"/>
        </w:rPr>
        <w:t xml:space="preserve">Zitiervorschlag: § 20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