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VSchDG — Zulässigkeit, Zuständigkeit</w:t>
      </w:r>
    </w:p>
    <w:p>
      <w:r>
        <w:rPr>
          <w:color w:val="555555"/>
          <w:sz w:val="18"/>
        </w:rPr>
        <w:t xml:space="preserve">EU-Verbraucherschutzdurchführungsgesetz</w:t>
      </w:r>
    </w:p>
    <w:p>
      <w:r>
        <w:rPr>
          <w:color w:val="555555"/>
          <w:sz w:val="18"/>
        </w:rPr>
        <w:t xml:space="preserve">Stand: 03.07.2020 (konsolidierte Textfassung, kein amtliches Inkrafttretensdatum)</w:t>
      </w:r>
    </w:p>
    <w:p>
      <w:r>
        <w:t xml:space="preserve">(1) Gegen eine Entscheidung nach</w:t>
      </w:r>
    </w:p>
    <w:p>
      <w:pPr>
        <w:ind w:left="420"/>
      </w:pPr>
      <w:r>
        <w:t xml:space="preserve">1. Artikel 9 Absatz 4 Buchstabe a, soweit es sich um die Anordnung einer Beseitigung oder Unterlassung handelt, Artikel 9 Absatz 4 Buchstabe e oder Artikel 9 Absatz 7 der Verordnung (EU) 2017/2394 oder</w:t>
      </w:r>
    </w:p>
    <w:p>
      <w:pPr>
        <w:ind w:left="420"/>
      </w:pPr>
      <w:r>
        <w:t xml:space="preserve">2. § 10 oder § 11, soweit eine Entscheidung nach diesen Vorschriften in einem sachlichen Zusammenhang mit einer Entscheidung nach Nummer 1 steht,</w:t>
      </w:r>
    </w:p>
    <w:p>
      <w:r>
        <w:t xml:space="preserve">der zuständigen Behörde ist die Beschwerde zulässig. Im Übrigen bleiben die Vorschriften über Rechtsbehelfe bei Verwaltungsmaßnahmen unberührt.</w:t>
      </w:r>
    </w:p>
    <w:p>
      <w:r>
        <w:t xml:space="preserve">(2) Die zuständige Behörde hat einer Entscheidung im Sinne des Absatzes 1 Satz 1 eine Rechtsbehelfsbelehrung nach § 37 Absatz 6 des Verwaltungsverfahrensgesetzes beizufügen. § 58 der Verwaltungsgerichtsordnung gilt entsprechend.</w:t>
      </w:r>
    </w:p>
    <w:p>
      <w:r>
        <w:t xml:space="preserve">(3) Die Beschwerde ist nur zulässig, wenn der Antragsteller geltend macht, durch die Entscheidung im Sinne des Absatzes 1 Satz 1 oder deren Ablehnung oder Unterlassung in seinen Rechten verletzt zu sein; sie kann auch auf neue Tatsachen und Beweismittel gestützt werden.</w:t>
      </w:r>
    </w:p>
    <w:p>
      <w:r>
        <w:t xml:space="preserve">(4) Über die Beschwerde entscheidet ausschließlich das für den Sitz der zuständigen Behörde zuständige Landgericht. § 36 der Zivilprozessordnung gilt entsprechend.</w:t>
      </w:r>
    </w:p>
    <w:p>
      <w:r>
        <w:rPr>
          <w:color w:val="555555"/>
          <w:sz w:val="17"/>
        </w:rPr>
        <w:t xml:space="preserve">Zitiervorschlag: § 13 VSchDG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https://recht.nulegal.eu/gesetze/VSchDG/13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