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VSchDG — Vollstreckung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03.07.2020 (konsolidierte Textfassung, kein amtliches Inkrafttretensdatum)</w:t>
      </w:r>
    </w:p>
    <w:p>
      <w:r>
        <w:t xml:space="preserve">Die zuständige Behörde kann ihre Anordnungen nach den für die Vollstreckung von Verwaltungsmaßnahmen geltenden Vorschriften durchsetzen. Die Höhe des Zwangsgeldes für Entscheidungen nach Artikel 9 Absatz 4 Buchstabe a, e und g der Verordnung (EU) 2017/2394 beträgt für jeden Einzelfall höchstens zweihundertfünfzigtausend Euro.</w:t>
      </w:r>
    </w:p>
    <w:p>
      <w:r>
        <w:rPr>
          <w:color w:val="555555"/>
          <w:sz w:val="17"/>
        </w:rPr>
        <w:t xml:space="preserve">Zitiervorschlag: § 10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