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VSchDG-BVLGebV</w:t>
      </w:r>
    </w:p>
    <w:p>
      <w:r>
        <w:rPr>
          <w:color w:val="555555"/>
          <w:sz w:val="18"/>
        </w:rPr>
        <w:t xml:space="preserve">Gebührenverordnung für Amtshandlungen des Bundesministeriums der Justiz und für Verbraucherschutz nach dem EG-Verbraucherschutzdurchsetzungsgesetz</w:t>
      </w:r>
    </w:p>
    <w:p>
      <w:r>
        <w:rPr>
          <w:color w:val="555555"/>
          <w:sz w:val="18"/>
        </w:rPr>
        <w:t xml:space="preserve">Historische Fassung: Stand 10.06.2019 bis 30.06.2020. Dies ist nicht die aktuelle Fassung.</w:t>
      </w:r>
    </w:p>
    <w:p>
      <w:r>
        <w:t xml:space="preserve">Auf Grund des § 11 Absatz 4 in Verbindung mit § 2 Nummer 1 des EG-Verbraucherschutzdurchsetzungsgesetzes vom 21. Dezember 2006 (BGBl. I S. 3367), von denen § 2 Nummer 1 zuletzt durch Artikel 1 Nummer 1 des Gesetzes vom 6. Februar 2012 (BGBl. I S. 146) geändert worden ist, in Verbindung mit § 1 der EG-Verbraucherschutzdurchsetzungsgesetz-Ermächtigungsübertragungsverordnung vom 29. Dezember 2006 (BGBl. I S. 3469) sowie in Verbindung mit dem 2. Abschnitt des Verwaltungskostengesetzes vom 23. Juni 1970 (BGBl. I S. 821) verordnet das Bundesamt für Verbraucherschutz und Lebensmittelsicherheit:</w:t>
      </w:r>
    </w:p>
    <w:p>
      <w:r>
        <w:rPr>
          <w:color w:val="555555"/>
          <w:sz w:val="17"/>
        </w:rPr>
        <w:t xml:space="preserve">Zitiervorschlag: Eingangsformel VSchDG-BVLGebV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https://recht.nulegal.eu/gesetze/VSchDG-BVLGebV/eingangsformel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