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VSchDG-BVLGebV — Gebührenpflicht, Gebührensätze</w:t>
      </w:r>
    </w:p>
    <w:p>
      <w:r>
        <w:rPr>
          <w:color w:val="555555"/>
          <w:sz w:val="18"/>
        </w:rPr>
        <w:t xml:space="preserve">Gebührenverordnung für Amtshandlungen des Bundesministeriums der Justiz und für Verbraucherschutz nach dem EG-Verbraucherschutzdurchsetzungsgesetz</w:t>
      </w:r>
    </w:p>
    <w:p>
      <w:r>
        <w:rPr>
          <w:color w:val="555555"/>
          <w:sz w:val="18"/>
        </w:rPr>
        <w:t xml:space="preserve">Historische Fassung: Stand 10.06.2019 bis 30.06.2020. Dies ist nicht die aktuelle Fassung.</w:t>
      </w:r>
    </w:p>
    <w:p>
      <w:r>
        <w:t xml:space="preserve">(1) Die gebührenpflichtigen Tatbestände und die Gebührensätze der nach dem Verwaltungsaufwand zu bemessenden Gebühren ergeben sich aus dem anliegenden Gebührenverzeichnis. Gebühren nach den Gebührentatbeständen der Nummern 3 bis 5 des Gebührenverzeichnisses werden nur erhoben, wenn ein Verstoß gegen ein Gesetz zum Schutz der Verbraucherinteressen festgestellt wird oder der Verdacht eines innergemeinschaftlichen Verstoßes gegen ein solches Gesetz von dem Betroffenen verantwortlich veranlasst wurde.</w:t>
      </w:r>
    </w:p>
    <w:p>
      <w:r>
        <w:t xml:space="preserve">(2) Erfordert eine Amtshandlung im Einzelfall einen außergewöhnlich hohen Aufwand, so kann die Gebühr bis auf das Doppelte der im Gebührenverzeichnis vorgesehenen Gebühr erhöht werden. Der Gebührenschuldner soll vor der Vornahme der Amtshandlung gehört werden, wenn mit einer solchen Erhöhung zu rechnen ist und der Gebührenschuldner durch seine Mitwirkung den Verwaltungsaufwand reduzieren könnte. Dies gilt nicht, wenn durch die Anhörung der Erfolg der Maßnahme gefährdet würde oder besondere Eilbedürftigkeit besteht.</w:t>
      </w:r>
    </w:p>
    <w:p>
      <w:r>
        <w:t xml:space="preserve">(3) Erfordert eine Amtshandlung im Einzelfall einen außergewöhnlich niedrigen Aufwand, so kann die Gebühr bis auf die Hälfte der im Gebührenverzeichnis vorgesehenen Gebühr reduziert werden.</w:t>
      </w:r>
    </w:p>
    <w:p>
      <w:r>
        <w:t xml:space="preserve">(4) Auf Antrag des Gebührenschuldners kann von der Erhebung von Gebühren teilweise oder ganz abgesehen werden, wenn ihre Erhebung unter Berücksichtigung der besonderen Umstände des Einzelfalls und der wirtschaftlichen Verhältnisse des Gebührenschuldners unbillig wäre.</w:t>
      </w:r>
    </w:p>
    <w:p>
      <w:r>
        <w:rPr>
          <w:color w:val="555555"/>
          <w:sz w:val="17"/>
        </w:rPr>
        <w:t xml:space="preserve">Zitiervorschlag: § 2 VSchDG-BVLGebV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https://recht.nulegal.eu/gesetze/VSchDG-BVLGebV/2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VSchDG-BVLGebV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