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VSVgV</w:t>
      </w:r>
    </w:p>
    <w:p>
      <w:r>
        <w:rPr>
          <w:color w:val="555555"/>
          <w:sz w:val="18"/>
        </w:rPr>
        <w:t xml:space="preserve">Vergabeverordnung Verteidigung und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97 Absatz 6, des § 127 Nummer 1, 3 und 8 des Gesetzes gegen Wettbewerbsbeschränkungen, von denen § 127 Nummer 1 durch Artikel 1 Nummer 23 Buchstabe a des Gesetzes vom 20. April 2009 (BGBl. I S. 790) geändert, Nummer 3 durch Artikel 1 Nummer 10 des Gesetzes vom 7. Dezember 2011 (BGBl. I S. 2570) neu gefasst und § 127 Nummer 8 zuletzt durch Artikel 1 Nummer 23 Buchstabe e des Gesetzes vom 20. April 2009 (BGBl. I S. 790) geändert worden ist, verordnet die Bundesregierung:</w:t>
      </w:r>
    </w:p>
    <w:p>
      <w:r>
        <w:rPr>
          <w:color w:val="555555"/>
          <w:sz w:val="17"/>
        </w:rPr>
        <w:t xml:space="preserve">Zitiervorschlag: Eingangsformel VSVgV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https://recht.nulegal.eu/gesetze/VSVgV/eingangsformel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