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VSVgV — Unteraufträge</w:t>
      </w:r>
    </w:p>
    <w:p>
      <w:r>
        <w:rPr>
          <w:color w:val="555555"/>
          <w:sz w:val="18"/>
        </w:rPr>
        <w:t xml:space="preserve">Vergabeverordnung Verteidigung und Sicherheit</w:t>
      </w:r>
    </w:p>
    <w:p>
      <w:r>
        <w:rPr>
          <w:color w:val="555555"/>
          <w:sz w:val="18"/>
        </w:rPr>
        <w:t xml:space="preserve">Stand: 01.07.2026 (konsolidierte Textfassung, kein amtliches Inkrafttretensdatum)</w:t>
      </w:r>
    </w:p>
    <w:p>
      <w:r>
        <w:t xml:space="preserve">(1) Auftraggeber können den Bieter auffordern, in seinem Angebot den Teil des Auftrags, den er im Wege von Unteraufträgen an Dritte zu vergeben beabsichtigt, und die bereits vorgeschlagenen Unterauftragnehmer sowie den Gegenstand der Unteraufträge bekannt zu geben. Sie können außerdem verlangen, dass der Auftragnehmer ihnen jede im Zuge der Ausführung des Auftrags eintretende Änderung auf Ebene der Unterauftragnehmer mitteilt. Auftraggeber können von Bietern verlangen, in ihrem Angebot keine Unterauftragnehmer vorzusehen, die in einem Staat außerhalb der Europäischen Union ansässig sind, bei dem eine Ungleichbehandlung unionsrechtlich oder aufgrund eines Bundesgesetzes geboten oder gestattet ist.</w:t>
      </w:r>
    </w:p>
    <w:p>
      <w:r>
        <w:t xml:space="preserve">(2) Auftragnehmer dürfen ihre Unterauftragnehmer für alle Unteraufträge frei wählen, soweit Auftraggeber keine Anforderungen an die Erteilung der Unteraufträge im wettbewerblichen Verfahren gemäß Absatz 3 Nummer 1 und 2 stellen. Von Auftragnehmern darf insbesondere nicht verlangt werden, potenzielle Unterauftragnehmer anderer EU-Mitgliedstaaten aus Gründen der Staatsangehörigkeit zu diskriminieren. Auftraggeber können dem Auftragnehmer vorgeben, keine Unterauftragnehmer zu beauftragen, die in einem Staat außerhalb der Europäischen Union ansässig sind, bei dem eine Ungleichbehandlung unionsrechtlich oder aufgrund eines Bundesgesetzes geboten oder gestattet ist.</w:t>
      </w:r>
    </w:p>
    <w:p>
      <w:r>
        <w:t xml:space="preserve">(3) Folgende Anforderungen können Auftraggeber an die Erteilung von Unteraufträgen im wettbewerblichen Verfahren stellen:</w:t>
      </w:r>
    </w:p>
    <w:p>
      <w:pPr>
        <w:ind w:left="420"/>
      </w:pPr>
      <w:r>
        <w:t xml:space="preserve">1. Auftraggeber können Auftragnehmer verpflichten, einen Teil des Auftrags an Dritte weiter zu vergeben. Dazu benennen Auftraggeber eine Wertspanne unter Einschluss eines Mindest- und Höchstprozentsatzes. Der Höchstprozentsatz darf 30 Prozent des Auftragswerts nicht übersteigen. Diese Spanne muss im angemessenen Verhältnis zum Gegenstand und zum Wert des Auftrags und zur Art des betroffenen Industriesektors stehen, einschließlich des auf diesem Markt herrschenden Wettbewerbsniveaus und der einschlägigen technischen Fähigkeiten der industriellen Basis. Jeder Prozentsatz der Unterauftragsvergabe, der in die angegebene Wertspanne fällt, gilt als Erfüllung der Verpflichtung zur Vergabe von Unteraufträgen. Auftragnehmer vergeben die Unteraufträge gemäß den §§ 38 bis 41. In ihrem Angebot geben die Bieter an, welchen Teil oder welche Teile ihres Angebots sie durch Unteraufträge zu vergeben beabsichtigen, um die Wertspanne zu erfüllen. Auftraggeber können die Bieter auffordern, den oder die Teile ihres Angebots, den sie über den geforderten Prozentsatz hinaus durch Unteraufträge zu vergeben beabsichtigen, sowie die bereits in Aussicht genommenen Unterauftragnehmer offenzulegen.</w:t>
      </w:r>
    </w:p>
    <w:p>
      <w:pPr>
        <w:ind w:left="420"/>
      </w:pPr>
      <w:r>
        <w:t xml:space="preserve">2. Auftraggeber können verlangen, dass Auftragnehmer die Bestimmungen der §§ 38 bis 41 auf alle oder bestimmte Unteraufträge anwenden, die diese an Dritte zu vergeben beabsichtigen.</w:t>
      </w:r>
    </w:p>
    <w:p>
      <w:r>
        <w:t xml:space="preserve">(4) Die in den Absätzen 1 und 3 genannten Anforderungen geben die Auftraggeber in der Bekanntmachung oder den Vergabeunterlagen an.</w:t>
      </w:r>
    </w:p>
    <w:p>
      <w:r>
        <w:t xml:space="preserve">(5) Auftraggeber dürfen einen vom Bieter oder Auftragnehmer ausgewählten Unterauftragnehmer nur auf Grundlage der Kriterien ablehnen, die für den Hauptauftrag gelten und in der Bekanntmachung oder den Vergabeunterlagen angegeben wurden. Lehnen Auftraggeber einen Unterauftragnehmer ab, müssen sie dies gegenüber dem betroffenen Bieter oder dem Auftragnehmer in Textform nach § 126b des Bürgerlichen Gesetzbuchs begründen und darlegen, warum der Unterauftragnehmer ihres Erachtens die für den Hauptauftrag vorgegebenen Kriterien nicht erfüllt.</w:t>
      </w:r>
    </w:p>
    <w:p>
      <w:r>
        <w:t xml:space="preserve">(6) Die Haftung des Auftragnehmers gegenüber dem Auftraggeber bleibt von den Vorschriften dieser Verordnung zur Unterauftragsvergabe unberührt.</w:t>
      </w:r>
    </w:p>
    <w:p>
      <w:r>
        <w:rPr>
          <w:color w:val="555555"/>
          <w:sz w:val="17"/>
        </w:rPr>
        <w:t xml:space="preserve">Zitiervorschlag: § 9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