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VSVgV — Versorgungssicherheit</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Auftraggeber legen in der Bekanntmachung oder den Vergabeunterlagen ihre Anforderungen an die Versorgungssicherheit fest.</w:t>
      </w:r>
    </w:p>
    <w:p>
      <w:r>
        <w:t xml:space="preserve">(2) Auftraggeber können insbesondere verlangen, dass der Teilnahmeantrag oder das Angebot folgende Angaben enthält:</w:t>
      </w:r>
    </w:p>
    <w:p>
      <w:pPr>
        <w:ind w:left="420"/>
      </w:pPr>
      <w:r>
        <w:t xml:space="preserve">1. eine Bescheinigung oder Unterlagen, die belegen, dass der Bewerber oder Bieter in Bezug auf Güterausfuhr, -verbringung und -durchfuhr die mit der Auftragsausführung verbundenen Verpflichtungen erfüllen kann, wozu auch unterstützende Unterlagen der zuständigen Behörden des oder der betreffenden Mitgliedstaaten zählen;</w:t>
      </w:r>
    </w:p>
    <w:p>
      <w:pPr>
        <w:ind w:left="420"/>
      </w:pPr>
      <w:r>
        <w:t xml:space="preserve">2. die Information über alle für den Auftraggeber aufgrund von Ausfuhrkontroll- oder Sicherheitsbeschränkungen geltenden Einschränkungen bezüglich der Angabepflicht, Verbringung oder Verwendung der Güter und Dienstleistungen oder über Festlegungen zu diesen Gütern und Dienstleistungen;</w:t>
      </w:r>
    </w:p>
    <w:p>
      <w:pPr>
        <w:ind w:left="420"/>
      </w:pPr>
      <w:r>
        <w:t xml:space="preserve">3. eine Bescheinigung oder Unterlagen, die belegen, dass Organisation und Standort der Lieferkette des Bewerbers oder Bieters ihm erlauben, die vom Auftraggeber in der Bekanntmachung oder den Vergabeunterlagen genannten Anforderungen an die Versorgungssicherheit zu erfüllen, und die Zusage des Bewerbers oder Bieters, sicherzustellen, dass mögliche Änderungen in seiner Lieferkette während der Auftragsausführung die Erfüllung dieser Anforderungen nicht beeinträchtigen werden;</w:t>
      </w:r>
    </w:p>
    <w:p>
      <w:pPr>
        <w:ind w:left="420"/>
      </w:pPr>
      <w:r>
        <w:t xml:space="preserve">4. die Zusage des Bewerbers oder Bieters, die zur Deckung möglicher Bedarfssteigerungen des Auftraggebers infolge einer Krise erforderlichen Kapazitäten unter zu vereinbarenden Bedingungen zu schaffen oder beizubehalten;</w:t>
      </w:r>
    </w:p>
    <w:p>
      <w:pPr>
        <w:ind w:left="420"/>
      </w:pPr>
      <w:r>
        <w:t xml:space="preserve">5. unterstützende Unterlagen bezüglich der Deckung des zusätzlichen Bedarfs des Auftraggebers infolge einer Krise, die durch die für den Bewerber oder Bieter zuständige nationale Behörde ausgestellt worden sind;</w:t>
      </w:r>
    </w:p>
    <w:p>
      <w:pPr>
        <w:ind w:left="420"/>
      </w:pPr>
      <w:r>
        <w:t xml:space="preserve">6. die Zusage des Bewerbers oder Bieters, für Wartung, Modernisierung oder Anpassung der im Rahmen des Auftrags gelieferten Güter zu sorgen;</w:t>
      </w:r>
    </w:p>
    <w:p>
      <w:pPr>
        <w:ind w:left="420"/>
      </w:pPr>
      <w:r>
        <w:t xml:space="preserve">7. die Zusage des Bewerbers oder Bieters, den Auftraggeber rechtzeitig über jede Änderung seiner Organisation, Lieferkette oder Unternehmensstrategie zu unterrichten, die seine Verpflichtungen dem Auftraggeber gegenüber berühren könnte;</w:t>
      </w:r>
    </w:p>
    <w:p>
      <w:pPr>
        <w:ind w:left="420"/>
      </w:pPr>
      <w:r>
        <w:t xml:space="preserve">8. die Zusage des Bewerbers oder Bieters, dem Auftraggeber unter zu vereinbarenden Bedingungen alle speziellen Mittel zur Verfügung zu stellen, die für die Herstellung von Ersatzteilen, Bauteilen, Bausätzen und speziellen Testgeräten erforderlich sind, einschließlich technischer Zeichnungen, Lizenzen und Bedienungsanleitungen, sofern er nicht mehr in der Lage sein sollte, diese Güter zu liefern.</w:t>
      </w:r>
    </w:p>
    <w:p>
      <w:r>
        <w:t xml:space="preserve">(3) Von einem Bieter darf nicht verlangt werden, eine Zusage eines Mitgliedstaats einzuholen, welche die Freiheit dieses Mitgliedstaats einschränken würde, im Einklang mit internationalen Verträgen und europarechtlichen Rechtsvorschriften seine eigenen Kriterien für die Erteilung einer Ausfuhr-, Verbringungs- oder Durchfuhrgenehmigung unter den zum Zeitpunkt der Genehmigungsentscheidung geltenden Bedingungen anzuwenden.</w:t>
      </w:r>
    </w:p>
    <w:p>
      <w:r>
        <w:rPr>
          <w:color w:val="555555"/>
          <w:sz w:val="17"/>
        </w:rPr>
        <w:t xml:space="preserve">Zitiervorschlag: § 8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