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VSVgV — Inkrafttreten</w:t>
      </w:r>
    </w:p>
    <w:p>
      <w:r>
        <w:rPr>
          <w:color w:val="555555"/>
          <w:sz w:val="18"/>
        </w:rPr>
        <w:t xml:space="preserve">Vergabeverordnung Verteidigung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45 VSVgV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https://recht.nulegal.eu/gesetze/VSVgV/45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