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VSVgV — Dokumentations- und Aufbewahrungspflichten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Das Vergabeverfahren ist von Beginn an in einem Vergabevermerk fortlaufend zu dokumentieren, um die einzelnen Stufen des Verfahrens, die einzelnen Maßnahmen sowie die Begründung der einzelnen Entscheidungen festzuhalten.</w:t>
      </w:r>
    </w:p>
    <w:p>
      <w:r>
        <w:t xml:space="preserve">(2) Der Vergabevermerk umfasst zumindest:</w:t>
      </w:r>
    </w:p>
    <w:p>
      <w:pPr>
        <w:ind w:left="420"/>
      </w:pPr>
      <w:r>
        <w:t xml:space="preserve">1. den Namen und die Anschrift des öffentlichen Auftraggebers, Gegenstand und Wert des Auftrags oder der Rahmenvereinbarung,</w:t>
      </w:r>
    </w:p>
    <w:p>
      <w:pPr>
        <w:ind w:left="420"/>
      </w:pPr>
      <w:r>
        <w:t xml:space="preserve">2. die Namen der berücksichtigten Bewerber oder Bieter und die Gründe für ihre Auswahl,</w:t>
      </w:r>
    </w:p>
    <w:p>
      <w:pPr>
        <w:ind w:left="420"/>
      </w:pPr>
      <w:r>
        <w:t xml:space="preserve">3. die Namen der nicht berücksichtigten Bewerber oder Bieter und die Gründe für ihre Ablehnung,</w:t>
      </w:r>
    </w:p>
    <w:p>
      <w:pPr>
        <w:ind w:left="420"/>
      </w:pPr>
      <w:r>
        <w:t xml:space="preserve">4. die Gründe für die Ablehnung von ungewöhnlich niedrigen Angeboten,</w:t>
      </w:r>
    </w:p>
    <w:p>
      <w:pPr>
        <w:ind w:left="420"/>
      </w:pPr>
      <w:r>
        <w:t xml:space="preserve">5. den Namen des erfolgreichen Bieters und die Gründe für die Auswahl seines Angebots sowie, falls bekannt, den Anteil am Auftrag oder an der Rahmenvereinbarung, den der Zuschlagsempfänger an Dritte weiterzugeben beabsichtigt oder verpflichtet ist weiterzugeben,</w:t>
      </w:r>
    </w:p>
    <w:p>
      <w:pPr>
        <w:ind w:left="420"/>
      </w:pPr>
      <w:r>
        <w:t xml:space="preserve">6. beim Verhandlungsverfahren ohne Teilnahmewettbewerb und wettbewerblichen Dialog die in dieser Verordnung jeweils genannten Umstände oder Gründe, die die Anwendung dieser Verfahren rechtfertigen; gegebenenfalls die Begründung für die Überschreitung der Fristen gemäß § 12 Absatz 1 Nummer 2 Buchstabe a Satz 2 und Nummer 3 Buchstabe b Satz 3 sowie für die Überschreitung der Schwelle von 50 Prozent gemäß § 12 Absatz 1 Nummer 3 Buchstabe a,</w:t>
      </w:r>
    </w:p>
    <w:p>
      <w:pPr>
        <w:ind w:left="420"/>
      </w:pPr>
      <w:r>
        <w:t xml:space="preserve">7. gegebenenfalls die Gründe, aus denen die Auftraggeber auf die Vergabe eines Auftrags oder den Abschluss einer Rahmenvereinbarung verzichtet haben,</w:t>
      </w:r>
    </w:p>
    <w:p>
      <w:pPr>
        <w:ind w:left="420"/>
      </w:pPr>
      <w:r>
        <w:t xml:space="preserve">8. die Gründe, aufgrund derer mehrere Teil- oder Fachlose zusammen vergeben werden sollen,</w:t>
      </w:r>
    </w:p>
    <w:p>
      <w:pPr>
        <w:ind w:left="420"/>
      </w:pPr>
      <w:r>
        <w:t xml:space="preserve">9. die Gründe, warum der Gegenstand des Auftrags die Vorlage von Eigenerklärungen oder von Eignungsnachweisen erfordert,</w:t>
      </w:r>
    </w:p>
    <w:p>
      <w:pPr>
        <w:ind w:left="420"/>
      </w:pPr>
      <w:r>
        <w:t xml:space="preserve">10. die Gründe der Nichtangabe der Gewichtung der Zuschlagskriterien,</w:t>
      </w:r>
    </w:p>
    <w:p>
      <w:pPr>
        <w:ind w:left="420"/>
      </w:pPr>
      <w:r>
        <w:t xml:space="preserve">11. gegebenenfalls die Gründe, die eine über sieben Jahre hinausgehende Laufzeit einer Rahmenvereinbarung rechtfertigen, und</w:t>
      </w:r>
    </w:p>
    <w:p>
      <w:pPr>
        <w:ind w:left="420"/>
      </w:pPr>
      <w:r>
        <w:t xml:space="preserve">12. die Gründe für die Ablehnung von Angeboten.</w:t>
      </w:r>
    </w:p>
    <w:p>
      <w:r>
        <w:t xml:space="preserve">(3) Die Auftraggeber müssen geeignete Maßnahmen treffen, um den Ablauf der mit elektronischen Mitteln durchgeführten Vergabeverfahren zu dokumentieren.</w:t>
      </w:r>
    </w:p>
    <w:p>
      <w:r>
        <w:t xml:space="preserve">(4) Auf Ersuchen der Europäischen Kommission müssen die Auftraggeber den Vermerk in Kopie übermitteln oder dessen wesentlichen Inhalt mitteilen.</w:t>
      </w:r>
    </w:p>
    <w:p>
      <w:r>
        <w:rPr>
          <w:color w:val="555555"/>
          <w:sz w:val="17"/>
        </w:rPr>
        <w:t xml:space="preserve">Zitiervorschlag: § 43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