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VSVgV — Unteraufträge aufgrund einer Rahmenvereinbarung</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Der Auftragnehmer kann die Anforderungen an die Vergabe von Unteraufträgen im Sinne des § 9 Absatz 3 Nummer 1 und 2 erfüllen, indem er Unteraufträge auf der Grundlage einer Rahmenvereinbarung vergibt, die unter Einhaltung des § 38 Absatz 1 Satz 2, der §§ 39 und 40 geschlossen wurde. Unteraufträge auf der Grundlage einer solchen Rahmenvereinbarung werden gemäß den Bedingungen der Rahmenvereinbarung vergeben. Sie dürfen nur an Unternehmen vergeben werden, die von Anfang an Parteien der Rahmenvereinbarung waren.</w:t>
      </w:r>
    </w:p>
    <w:p>
      <w:r>
        <w:t xml:space="preserve">(2) Für die durch den Auftragnehmer geschlossene Rahmenvereinbarung gilt § 14 Absatz 1 Satz 2 und Absatz 6 Satz 1 und 2 entsprechend.</w:t>
      </w:r>
    </w:p>
    <w:p>
      <w:r>
        <w:rPr>
          <w:color w:val="555555"/>
          <w:sz w:val="17"/>
        </w:rPr>
        <w:t xml:space="preserve">Zitiervorschlag: § 41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