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VSVgV — Kriterien zur Auswahl der Unterauftragsnehmer</w:t>
      </w:r>
    </w:p>
    <w:p>
      <w:r>
        <w:rPr>
          <w:color w:val="555555"/>
          <w:sz w:val="18"/>
        </w:rPr>
        <w:t xml:space="preserve">Vergabeverordnung Verteidigung und Sicherheit</w:t>
      </w:r>
    </w:p>
    <w:p>
      <w:r>
        <w:rPr>
          <w:color w:val="555555"/>
          <w:sz w:val="18"/>
        </w:rPr>
        <w:t xml:space="preserve">Stand: 10.06.2019 (konsolidierte Textfassung, kein amtliches Inkrafttretensdatum)</w:t>
      </w:r>
    </w:p>
    <w:p>
      <w:r>
        <w:t xml:space="preserve">(1) In der Bekanntmachung für den Unterauftrag gibt der Auftragnehmer die vom Auftraggeber festgelegten Eignungskriterien sowie alle anderen Kriterien an, die er für die Auswahl der Unterauftragnehmer anwenden wird. Diese Kriterien müssen objektiv und nicht diskriminierend sein und im Einklang mit den Kriterien stehen, die der Auftraggeber für die Auswahl der Bieter für den Hauptauftrag angewandt hat. Die geforderte Leistungsfähigkeit muss in unmittelbarem Zusammenhang mit dem Gegenstand des Unterauftrags stehen und das Niveau der geforderten Fähigkeiten muss dem Gegenstand des Unterauftrags angemessen sein.</w:t>
      </w:r>
    </w:p>
    <w:p>
      <w:r>
        <w:t xml:space="preserve">(2) Der Auftraggeber darf vom Auftragnehmer nicht verlangen, einen Unterauftrag zu vergeben, wenn dieser nachweist, dass keiner der Unterauftragnehmer, die an dem Wettbewerb teilnehmen, oder keines der eingereichten Angebote die in der Bekanntmachung über den Unterauftrag genannten Kriterien erfüllt und es daher dem erfolgreichen Bieter unmöglich wäre, die Anforderungen des Hauptauftrags zu erfüllen.</w:t>
      </w:r>
    </w:p>
    <w:p>
      <w:r>
        <w:rPr>
          <w:color w:val="555555"/>
          <w:sz w:val="17"/>
        </w:rPr>
        <w:t xml:space="preserve">Zitiervorschlag: § 40 VSVgV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https://recht.nulegal.eu/gesetze/VSVgV/40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