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VSVgV — Bekanntmachung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(1) Der Auftragnehmer veröffentlicht seine Absicht, einen Unterauftrag zu vergeben, in Form einer Bekanntmachung. Die Bekanntmachung enthält zumindest die in Anhang V der Richtlinie 2009/81/EG aufgeführten Informationen sowie die Auswahlkriterien des § 40 Absatz 1. Für die Bekanntmachung ist die Einwilligung des Auftraggebers einzuholen. Die Bekanntmachung wird nach den Vorgaben der Spalte 22 der Tabelle 2 des Anhangs der Durchführungsverordnung (EU) 2019/1780 in Verbindung mit § 2 Absatz 3 erstellt und wird gemäß § 18 Absatz 4 und 5 veröffentlicht.</w:t>
      </w:r>
    </w:p>
    <w:p>
      <w:r>
        <w:t xml:space="preserve">(2) Eine Bekanntmachung über Unteraufträge ist nicht erforderlich, wenn in entsprechender Anwendung des § 12 eine Bekanntmachung verzichtbar ist, weil ein Verhandlungsverfahren ohne Teilnahmewettbewerb zulässig wäre.</w:t>
      </w:r>
    </w:p>
    <w:p>
      <w:r>
        <w:rPr>
          <w:color w:val="555555"/>
          <w:sz w:val="17"/>
        </w:rPr>
        <w:t xml:space="preserve">Zitiervorschlag: § 39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