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VSVgV — Aufhebung und Einstellung des Vergabeverfahrens</w:t>
      </w:r>
    </w:p>
    <w:p>
      <w:r>
        <w:rPr>
          <w:color w:val="555555"/>
          <w:sz w:val="18"/>
        </w:rPr>
        <w:t xml:space="preserve">Vergabeverordnung Verteidigung und Sicherheit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Die Vergabeverfahren können ganz oder bei Vergabe nach Losen auch teilweise aufgehoben werden, wenn</w:t>
      </w:r>
    </w:p>
    <w:p>
      <w:pPr>
        <w:ind w:left="420"/>
      </w:pPr>
      <w:r>
        <w:t xml:space="preserve">1. kein Angebot eingegangen ist, das den Bewerbungsbedingungen entspricht,</w:t>
      </w:r>
    </w:p>
    <w:p>
      <w:pPr>
        <w:ind w:left="420"/>
      </w:pPr>
      <w:r>
        <w:t xml:space="preserve">2. sich die Grundlagen der Vergabeverfahren wesentlich geändert haben,</w:t>
      </w:r>
    </w:p>
    <w:p>
      <w:pPr>
        <w:ind w:left="420"/>
      </w:pPr>
      <w:r>
        <w:t xml:space="preserve">3. sie kein wirtschaftliches Ergebnis gehabt haben,</w:t>
      </w:r>
    </w:p>
    <w:p>
      <w:pPr>
        <w:ind w:left="420"/>
      </w:pPr>
      <w:r>
        <w:t xml:space="preserve">4. ein Vergabeverfahren gemäß § 10 Absatz 6 Satz 2 ohne bereits gesicherte Finanzierung eingeleitet wurde und die Finanzierung des öffentlichen Auftrags endgültig nicht gesichert ist, ohne dass dies dem Auftraggeber zuzurechnen ist, oder</w:t>
      </w:r>
    </w:p>
    <w:p>
      <w:pPr>
        <w:ind w:left="420"/>
      </w:pPr>
      <w:r>
        <w:t xml:space="preserve">5. andere schwerwiegende Gründe bestehen.</w:t>
      </w:r>
    </w:p>
    <w:p>
      <w:r>
        <w:t xml:space="preserve">(2) Die Auftraggeber teilen den Bewerbern oder Bietern nach Aufhebung des Vergabeverfahrens mindestens in Textform im Sinne des § 126b des Bürgerlichen Gesetzbuchs unverzüglich die Gründe für ihre Entscheidung mit, auf die Vergabe eines bekannt gemachten Auftrags zu verzichten oder das Vergabeverfahren erneut einzuleiten.</w:t>
      </w:r>
    </w:p>
    <w:p>
      <w:r>
        <w:rPr>
          <w:color w:val="555555"/>
          <w:sz w:val="17"/>
        </w:rPr>
        <w:t xml:space="preserve">Zitiervorschlag: § 37 VSVgV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https://recht.nulegal.eu/gesetze/VSVgV/37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