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VSVgV — Nebenangebote</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Der Auftraggeber gibt in der Auftragsbekanntmachung oder in der Aufforderung zur Interessensbestätigung an, ob er Nebenangebote zulässt, vorschreibt oder ausschließt. Eine Begründung ist nicht erforderlich. Auftraggeber berücksichtigen nur Nebenangebote, die den in den Vergabeunterlagen festgelegten Mindestanforderungen entsprechen. Werden Nebenangebote zugelassen oder vorgeschrieben, geben Auftraggeber in den Vergabeunterlagen an, welche Mindestanforderungen für Nebenangebote gelten und in welcher Art und Weise Nebenangebote einzureichen sind.</w:t>
      </w:r>
    </w:p>
    <w:p>
      <w:r>
        <w:t xml:space="preserve">(2) Auftraggeber dürfen ein Nebenangebot nicht deshalb zurückweisen, weil es im Falle des Zuschlags zu einem Dienstleistungsauftrag anstelle eines Lieferauftrags oder zu einem Lieferauftrag anstelle eines Dienstleistungsauftrags führen würde.</w:t>
      </w:r>
    </w:p>
    <w:p>
      <w:r>
        <w:rPr>
          <w:color w:val="555555"/>
          <w:sz w:val="17"/>
        </w:rPr>
        <w:t xml:space="preserve">Zitiervorschlag: § 32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