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VSVgV — Fakultativer Ausschluss</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Der Auftraggeber kann unter Berücksichtigung des Grundsatzes der Verhältnismäßigkeit ein Unternehmen zu jedem Zeitpunkt des Vergabeverfahrens von der Teilnahme an einem Vergabeverfahren ausschließen, wenn ein fakultativer Ausschlussgrund nach § 147 in Verbindung mit § 124 des Gesetzes gegen Wettbewerbsbeschränkungen vorliegt. § 147 in Verbindung mit § 125 des Gesetzes gegen Wettbewerbsbeschränkungen bleibt unberührt.</w:t>
      </w:r>
    </w:p>
    <w:p>
      <w:r>
        <w:t xml:space="preserve">(2) Als ausreichenden Nachweis dafür, dass die in § 147 in Verbindung mit § 124 Absatz 1 Nummer 2 des Gesetzes gegen Wettbewerbsbeschränkungen genannten Fälle auf das Unternehmen nicht zutreffen, erkennt der öffentliche Auftraggeber eine von der zuständigen Behörde des Herkunftslandes oder des Niederlassungsstaates des Bewerbers oder Bieters ausgestellte Bescheinigung an.</w:t>
      </w:r>
    </w:p>
    <w:p>
      <w:r>
        <w:t xml:space="preserve">(3) Wird eine in Absatz 2 genannte Bescheinigung im Herkunftsland des Unternehmens nicht ausgestellt oder werden darin nicht alle in § 147 in Verbindung mit § 124 Absatz 1 Nummer 2 des Gesetzes gegen Wettbewerbsbeschränkungen vorgesehenen Fälle erwähnt, so kann sie durch eine Versicherung an Eides statt ersetzt werden. In den Mitgliedstaaten, in denen es keine Versicherung an Eides statt gibt, gilt § 23 Absatz 5 Satz 2 entsprechend.</w:t>
      </w:r>
    </w:p>
    <w:p>
      <w:r>
        <w:rPr>
          <w:color w:val="555555"/>
          <w:sz w:val="17"/>
        </w:rPr>
        <w:t xml:space="preserve">Zitiervorschlag: § 24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