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VSVgV — Eignung und Auswahl der Bewerber</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Aufträge werden unter Wahrung der Eignungsanforderungen des § 122 Absatz 1 des Gesetzes gegen Wettbewerbsbeschränkungen vergeben.</w:t>
      </w:r>
    </w:p>
    <w:p>
      <w:r>
        <w:t xml:space="preserve">(2) Auftraggeber können Mindestanforderungen an die Eignung stellen, denen die Bewerber genügen müssen. Diese Mindestanforderungen müssen mit dem Auftragsgegenstand im sachlichen Zusammenhang stehen und durch ihn gerechtfertigt sein. Die Mindestanforderungen werden in der Bekanntmachung oder den Vergabeunterlagen angegeben.</w:t>
      </w:r>
    </w:p>
    <w:p>
      <w:r>
        <w:t xml:space="preserve">(3) Im nicht offenen Verfahren, Verhandlungsverfahren mit Teilnahmewettbewerb und im wettbewerblichen Dialog dürfen Auftraggeber die Zahl der geeigneten Bewerber begrenzen, die zur Abgabe eines Angebots aufgefordert werden. Dazu geben die Auftraggeber in der Bekanntmachung die von ihnen vorgesehenen objektiven und nicht diskriminierenden Anforderungen sowie die vorgesehene Mindestzahl und gegebenenfalls auch die Höchstzahl an Bewerbern an. Die Mindestzahl der Bewerber darf nicht niedriger als drei sein.</w:t>
      </w:r>
    </w:p>
    <w:p>
      <w:pPr>
        <w:ind w:left="420"/>
      </w:pPr>
      <w:r>
        <w:t xml:space="preserve">1. Sofern geeignete Bewerber in ausreichender Zahl zur Verfügung stehen, wird das Verfahren mit der Anzahl von Bewerbern fortgeführt, die der festgelegten Mindestzahl an Bewerbern entspricht.</w:t>
      </w:r>
    </w:p>
    <w:p>
      <w:pPr>
        <w:ind w:left="420"/>
      </w:pPr>
      <w:r>
        <w:t xml:space="preserve">2. Sofern die Zahl geeigneter Bewerber unter der Mindestanzahl liegt, kann der Auftraggeber das Verfahren fortführen. Ist der Auftraggeber der Auffassung, dass die Zahl der geeigneten Bewerber zu gering ist, um einen echten Wettbewerb zu gewährleisten, so kann er das Verfahren aussetzen und die erste Bekanntmachung gemäß § 18 zur Festsetzung einer neuen Frist für die Einreichung von Anträgen auf Teilnahme erneut veröffentlichen. In diesem Fall wird das Verfahren mit den nach der ersten sowie mit den nach der zweiten Bekanntmachung ausgewählten Bewerbern gemäß § 29 fortgeführt. Die Möglichkeit, das laufende Vergabeverfahren einzustellen und ein neues Verfahren einzuleiten, bleibt unberührt.</w:t>
      </w:r>
    </w:p>
    <w:p>
      <w:r>
        <w:t xml:space="preserve">(4) Bewerber oder Bieter, die gemäß den Rechtsvorschriften des EU-Mitgliedstaats, in dem sie ihre Niederlassung haben, zur Erbringung der betreffenden Leistung berechtigt sind, dürfen nicht allein deshalb zurückgewiesen werden, weil sie gemäß den einschlägigen deutschen Rechtsvorschriften eine natürliche oder juristische Person sein müssten. Im Falle zusätzlicher Dienstleistungen bei Lieferaufträgen und im Falle von Dienstleistungsaufträgen können juristische Personen verpflichtet werden, in ihrem Antrag auf Teilnahme oder Angebot die Namen und die berufliche Qualifikationen der Personen anzugeben, die für die Durchführung des Auftrags als verantwortlich vorgesehen sind.</w:t>
      </w:r>
    </w:p>
    <w:p>
      <w:r>
        <w:t xml:space="preserve">(5) Bewerber- und Bietergemeinschaften sind wie Einzelbewerber und -bieter zu behandeln. Auftraggeber dürfen nicht verlangen, dass nur Gruppen von Unternehmen, die eine bestimmte Rechtsform haben, einen Teilnahmeantrag stellen oder ein Angebot abgeben dürfen. Für den Fall der Auftragserteilung können die Auftraggeber verlangen, dass eine Bietergemeinschaft eine bestimmte Rechtsform annimmt, sofern dies für die ordnungsgemäße Durchführung des Auftrags notwendig ist.</w:t>
      </w:r>
    </w:p>
    <w:p>
      <w:r>
        <w:rPr>
          <w:color w:val="555555"/>
          <w:sz w:val="17"/>
        </w:rPr>
        <w:t xml:space="preserve">Zitiervorschlag: § 21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