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VSVgV — Anwendungsbereich</w:t>
      </w:r>
    </w:p>
    <w:p>
      <w:r>
        <w:rPr>
          <w:color w:val="555555"/>
          <w:sz w:val="18"/>
        </w:rPr>
        <w:t xml:space="preserve">Vergabeverordnung Verteidigung und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die Vergabe von verteidigungs- oder sicherheitsspezifischen öffentlichen Aufträgen im Sinne des § 104 Absatz 1 des Gesetzes gegen Wettbewerbsbeschränkungen, die dem Teil 4 des Gesetzes gegen Wettbewerbsbeschränkungen unterfallen und durch öffentliche Auftraggeber im Sinne des § 99 und Sektorenauftraggeber im Sinne des § 100 des Gesetzes gegen Wettbewerbsbeschränkungen vergeben werden.</w:t>
      </w:r>
    </w:p>
    <w:p>
      <w:r>
        <w:rPr>
          <w:color w:val="555555"/>
          <w:sz w:val="17"/>
        </w:rPr>
        <w:t xml:space="preserve">Zitiervorschlag: § 1 VSVgV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https://recht.nulegal.eu/gesetze/VSVgV/1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