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VSU (Bayern) — Erlöschen der Zulassung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 erlischt,</w:t>
      </w:r>
    </w:p>
    <w:p>
      <w:r>
        <w:t xml:space="preserve">1. mit Ablauf der in § 8 Abs. 7 bezeichneten Frist,</w:t>
      </w:r>
    </w:p>
    <w:p>
      <w:r>
        <w:t xml:space="preserve">2. bei schriftlichem Verzicht oder</w:t>
      </w:r>
    </w:p>
    <w:p>
      <w:r>
        <w:t xml:space="preserve">3. wenn der Sachverständige seiner Pflicht nach § 5 Satz 3 nicht nachkommt, sechs Monate nach Ablauf der Frist des § 5 Satz 2.</w:t>
      </w:r>
    </w:p>
    <w:p>
      <w:r>
        <w:t xml:space="preserve">(2) Das Erlöschen der Zulassung ist entsprechend § 3 bekannt zu geben.</w:t>
      </w:r>
    </w:p>
    <w:p>
      <w:r>
        <w:rPr>
          <w:color w:val="555555"/>
          <w:sz w:val="17"/>
        </w:rPr>
        <w:t xml:space="preserve">Zitiervorschlag: § 9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