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VSU (Bayern) — Voraussetzungen der Zulassung</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Zugelassen werden nur Stellen, die die Pflichten nach den §§ 11 und 12 erfüllen, die erforderliche Sachkunde und Zuverlässigkeit besitzen und über die erforderliche personelle und gerätetechnische Ausstattung verfügen (Untersuchungsstellen).</w:t>
      </w:r>
    </w:p>
    <w:p>
      <w:r>
        <w:t xml:space="preserve">(2) Eine Untersuchungsstelle besitzt die erforderliche Sachkunde und Zuverlässigkeit und verfügt über die erforderliche personelle und gerätetechnische Ausstattung, wenn sie die in Anlage 2 dieser Verordnung genannten allgemeinen und besonderen Anforderungen an die Kompetenz für den jeweiligen Teilbereich, für den die Zulassung beantragt wird, erfüllt. Hinsichtlich der Überprüfung der erforderlichen Sachkunde des Leiters der Untersuchungsstelle gelten § 36a Abs. 1 Satz 2 und Abs. 2 der Gewerbeordnung entsprechend; bei vorübergehender und nur gelegentlicher Tätigkeit eines Staatsangehörigen eines anderen Mitgliedstaates der Europäischen Union oder eines anderen Vertragsstaates des Abkommens über den Europäischen Wirtschaftsraum gelten hinsichtlich der erforderlichen Sachkunde § 13a Abs. 2 Sätze 2 bis 5 und Abs. 3 der Gewerbeordnung entsprechend.</w:t>
      </w:r>
    </w:p>
    <w:p>
      <w:r>
        <w:t xml:space="preserve">(3) Untersuchungsstellen müssen über eine ausreichende Haftpflichtversicherung mit einer Mindestdeckungssumme von 1,5 Millionen € pauschal für Personen-, Sach- und Vermögensschäden für jeden Einzelfall bei mindestens zweifacher Maximierung im Versicherungsjahr verfügen. Sie müssen die beauftragenden Behörden von der Haftung wegen jeglicher Fahrlässigkeit bei Durchführung der Untersuchung freistellen.</w:t>
      </w:r>
    </w:p>
    <w:p>
      <w:r>
        <w:rPr>
          <w:color w:val="555555"/>
          <w:sz w:val="17"/>
        </w:rPr>
        <w:t xml:space="preserve">Zitiervorschlag: § 14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