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VSU (Bayern) — Analytische Qualitätssicherung</w:t>
      </w:r>
    </w:p>
    <w:p>
      <w:r>
        <w:rPr>
          <w:color w:val="555555"/>
          <w:sz w:val="18"/>
        </w:rPr>
        <w:t xml:space="preserve">Sachverständigen- und Untersuchungsstellen-Verordnung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Untersuchungsstellen haben alle erforderlichen Maßnahmen der internen und externen Qualitätssicherung auf eigene Kosten vorzunehmen und auf Anfrage der Zulassungsstelle nachzuweisen. Die Analytische Qualitätssicherung erstreckt sich jeweils auf das gesamte Untersuchungsverfahren.</w:t>
      </w:r>
    </w:p>
    <w:p>
      <w:r>
        <w:t xml:space="preserve">(2) Untersuchungsstellen unterliegen der laufenden Kontrolle durch die Zulassungsstelle. Diese führt innerhalb des Zulassungszeitraums einmal ein Wiederholaudit durch. Bei Hinweisen auf Verschlechterung der Probenahme- oder der Analysenqualität kann sie jederzeit außerplanmäßige Audits durchführen.</w:t>
      </w:r>
    </w:p>
    <w:p>
      <w:r>
        <w:rPr>
          <w:color w:val="555555"/>
          <w:sz w:val="17"/>
        </w:rPr>
        <w:t xml:space="preserve">Zitiervorschlag: § 12 VSU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https://recht.nulegal.eu/gesetze/VSU/12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