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VSGZustV — Zuständigkeiten für die Auferlegung sonstiger Pflichten</w:t>
      </w:r>
    </w:p>
    <w:p>
      <w:r>
        <w:rPr>
          <w:color w:val="555555"/>
          <w:sz w:val="18"/>
        </w:rPr>
        <w:t xml:space="preserve">Verkehrssicherstellungsgesetz-Zuständigkeitsverordnung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Zuständige Behörden sind für die Auferlegung von Verwahrungs- und sonstigen Pflichten nach § 13 des Verkehrssicherstellungsgesetzes und von Verpflichtungen zu Verkehrsräumungen, Standort- und Wegeänderungen sowie sonstigen Verpflichtungen nach § 14 des Verkehrssicherstellungsgesetzes, soweit diese betreffen:</w:t>
      </w:r>
    </w:p>
    <w:p>
      <w:pPr>
        <w:ind w:left="420"/>
      </w:pPr>
      <w:r>
        <w:t xml:space="preserve">1. die öffentlichen Eisenbahnen und die Eisenbahnen des nichtöffentlichen Verkehrs das Eisenbahn-Bundesamt;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Seeschiffe, mit Ausnahme der Seefischereifahrzeuge,die sich im Geltungsbereich des Verkehrssicherstellungsgesetzes befinden,die Generaldirektion Wasserstraßen und Schifffahrt,im übrigendas Bundesministerium für Verkehr und digitale Infrastruktur;</w:t>
      </w:r>
    </w:p>
    <w:p>
      <w:pPr>
        <w:ind w:left="420"/>
      </w:pPr>
      <w:r>
        <w:t xml:space="preserve">4. Binnenschiffe, für die eine technische Zulassung zum Verkehr auf Bundeswasserstraßen erforderlich ist, ausgenommen Schiffe, die ausschließlich im Hafenbetrieb verwendet werden,die Generaldirektion Wasserstraßen und Schifffahrt;</w:t>
      </w:r>
    </w:p>
    <w:p>
      <w:pPr>
        <w:ind w:left="420"/>
      </w:pPr>
      <w:r>
        <w:t xml:space="preserve">5. Luftfahrzeuge,die für Flüge nach Instrumentenflugregeln ausgerüstet sind,das Luftfahrt-Bundesamt;die ausschließlich nach Sichtflugregeln betrieben werden,die für den Luftverkehr zuständige oberste Landesbehörde oder die von ihr bestimmte Behörde;</w:t>
      </w:r>
    </w:p>
    <w:p>
      <w:pPr>
        <w:ind w:left="420"/>
      </w:pPr>
      <w:r>
        <w:t xml:space="preserve">6. Flughäfendie für die Luftfahrt zuständigen obersten Landesbehörden;</w:t>
      </w:r>
    </w:p>
    <w:p>
      <w:pPr>
        <w:ind w:left="420"/>
      </w:pPr>
      <w:r>
        <w:t xml:space="preserve">7. Flugplätze (ausgenommen Nummer 6)die für die Luftfahrt zuständigen obersten Landesbehörden, in Baden-Württemberg, Bayern, Brandenburg, Hessen, Niedersachsen, Nordrhein-Westfalen, Rheinland-Pfalz und Sachsen-Anhalt die für die Luftfahrt zuständigen höheren Verkehrsbehörden;</w:t>
      </w:r>
    </w:p>
    <w:p>
      <w:pPr>
        <w:ind w:left="420"/>
      </w:pPr>
      <w:r>
        <w:t xml:space="preserve">8. Kraftfahrzeuge und ihre Anhänger einschließlich der Kraftfahrzeuge der öffentlichen Eisenbahnen sowie die ihnen dienenden Verkehrsanlagen und -einrichtungen</w:t>
      </w:r>
    </w:p>
    <w:p>
      <w:pPr>
        <w:ind w:left="780"/>
      </w:pPr>
      <w:r>
        <w:t xml:space="preserve">a) für die von den Ländern durchzuführenden Transportaufgabendie höheren Verkehrsbehörden der Länder, sofern nicht nach Landesrecht andere Verkehrsbehörden allgemein oder im Einzelfall hierzu bestimmt sind;</w:t>
      </w:r>
    </w:p>
    <w:p>
      <w:pPr>
        <w:ind w:left="780"/>
      </w:pPr>
      <w:r>
        <w:t xml:space="preserve">b) für die ihm nach § 19 Abs. 3 des Verkehrssicherstellungsgesetzes übertragenen Aufgabendas Bundesamt für Logistik und Mobilität;</w:t>
      </w:r>
    </w:p>
    <w:p>
      <w:pPr>
        <w:ind w:left="780"/>
      </w:pPr>
      <w:r>
        <w:t xml:space="preserve">c) im übrigendie unteren Verkehrsbehörden der Länder;</w:t>
      </w:r>
    </w:p>
    <w:p>
      <w:pPr>
        <w:ind w:left="420"/>
      </w:pPr>
      <w:r>
        <w:t xml:space="preserve">9. sonstige Verkehrsmittel, -anlagen und -einrichtungen, soweit sie nicht in Bundeseigentum stehen,die Behörden der allgemeinen Verwaltung auf der Kreisstufe.</w:t>
      </w:r>
    </w:p>
    <w:p>
      <w:r>
        <w:t xml:space="preserve">(2) Absatz 1 Nr. 3 und 4 gilt nicht für die Verlegung von See- und Binnenschiffen innerhalb der Häfen; insoweit findet Absatz 1 Nr. 9 Anwendung.</w:t>
      </w:r>
    </w:p>
    <w:p>
      <w:r>
        <w:t xml:space="preserve">(3) Die Zuständigkeit der in Absatz 1 Nr. 6 und 7 genannten Behörden erstreckt sich auch auf die Auferlegung von Verpflichtungen, soweit diese Umschlagsbetriebe betreffen, die zu den Flughäfen und Flugplätzen gehören.</w:t>
      </w:r>
    </w:p>
    <w:p>
      <w:r>
        <w:rPr>
          <w:color w:val="555555"/>
          <w:sz w:val="17"/>
        </w:rPr>
        <w:t xml:space="preserve">Zitiervorschlag: § 3 VSGZustV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https://recht.nulegal.eu/gesetze/VSGZustV/3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