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VSGZustV — Zuständigkeiten für die Verpflichtung zu Leistungen</w:t>
      </w:r>
    </w:p>
    <w:p>
      <w:r>
        <w:rPr>
          <w:color w:val="555555"/>
          <w:sz w:val="18"/>
        </w:rPr>
        <w:t xml:space="preserve">Verkehrssicherstellungsgesetz-Zuständigkeitsverordnung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Behörden sind für die Verpflichtung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der öffentlich-rechtlichen Träger von Bau- und Unterhaltungslasten zu Leistungen nach § 11 des Verkehrssicherstellungsgesetzes, soweit diese betreffen:</w:t>
      </w:r>
    </w:p>
    <w:p>
      <w:pPr>
        <w:ind w:left="780"/>
      </w:pPr>
      <w:r>
        <w:t xml:space="preserve">a) Straßen, deren Baulastträger nicht der Bund ist,die höheren oder, wo solche nicht bestehen, die obersten Straßenbaubehörden der Länder oder die von diesen dazu bestimmten Körperschaften des öffentlichen Rechts; in Bayern die Straßenaufsichtsbehörden;</w:t>
      </w:r>
    </w:p>
    <w:p>
      <w:pPr>
        <w:ind w:left="780"/>
      </w:pPr>
      <w:r>
        <w:t xml:space="preserve">b) nichtbundeseigene Häfendie Hafenaufsichtsbehörden der Länder, in Baden-Württemberg, Hessen und Niedersachsen die Hafenbehörden; ist der Baulastträger gleichzeitig Hafenbehörde, wird die Zuständigkeit durch deren Fachaufsichtsbehörde wahrgenommen; in Bayern die Kreisverwaltungsbehörden;</w:t>
      </w:r>
    </w:p>
    <w:p>
      <w:pPr>
        <w:ind w:left="780"/>
      </w:pPr>
      <w:r>
        <w:t xml:space="preserve">c) nichtbundeseigene schiffbare Gewässer (ausgenommen Buchstabe b)die höheren Verwaltungsbehörden der Länder; in Mecklenburg-Vorpommern die oberste Verkehrsbehörde; in Bayern die Kreisverwaltungsbehörden;</w:t>
      </w:r>
    </w:p>
    <w:p>
      <w:pPr>
        <w:ind w:left="420"/>
      </w:pPr>
      <w:r>
        <w:t xml:space="preserve">3. der Verkehrsunternehmen, die einer gesetzlichen Betriebs- und Beförderungspflicht unterliegen, zu Leistungen nach § 12 des Verkehrssicherstellungsgesetzes, soweit diese betreffen:</w:t>
      </w:r>
    </w:p>
    <w:p>
      <w:pPr>
        <w:ind w:left="780"/>
      </w:pPr>
      <w:r>
        <w:t xml:space="preserve">a) Kraftfahrzeuge und ihre Anhänger, Straßenbahnen und Oberleitungsbussedie höheren oder, wo solche nicht bestehen, die obersten Verkehrsbehörden der Länder;</w:t>
      </w:r>
    </w:p>
    <w:p>
      <w:pPr>
        <w:ind w:left="780"/>
      </w:pPr>
      <w:r>
        <w:t xml:space="preserve">b) Luftfahrzeuge,die für Flüge nach Instrumentenflugregeln ausgerüstet sind,das Luftfahrt-Bundesamt;die ausschließlich nach Sichtflugregeln betrieben werden,die für den Luftverkehr zuständige oberste Landesbehörde oder die von ihr bestimmte Behörde.</w:t>
      </w:r>
    </w:p>
    <w:p>
      <w:r>
        <w:t xml:space="preserve">(2) Die Befugnisse der in Absatz 1 Nr. 2 Buchstabe a genannten Behörden kann die oberste Straßenbaubehörde selbst wahrnehmen, wenn die Verpflichtung der Sicherstellung des weiträumigen Verkehrs dient.</w:t>
      </w:r>
    </w:p>
    <w:p>
      <w:r>
        <w:rPr>
          <w:color w:val="555555"/>
          <w:sz w:val="17"/>
        </w:rPr>
        <w:t xml:space="preserve">Zitiervorschlag: § 2 VSGZustV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https://recht.nulegal.eu/gesetze/VSGZustV/2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