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VSBInfoV</w:t>
      </w:r>
    </w:p>
    <w:p>
      <w:r>
        <w:rPr>
          <w:color w:val="555555"/>
          <w:sz w:val="18"/>
        </w:rPr>
        <w:t xml:space="preserve">Verbraucherstreitbeilegungs-Informationspflichtenverordnung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42 Absatz 1 Nummer 1 bis 4 des Verbraucherstreitbeilegungsgesetzes vom 19. Februar 2016 (BGBl. I S. 254) verordnet das Bundesministerium der Justiz und für Verbraucherschutz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VSBInfoV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https://recht.nulegal.eu/gesetze/VSBInfoV/eingangsformel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