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VSBInfoV — Evaluationsbericht der Verbraucherschlichtungsstelle</w:t>
      </w:r>
    </w:p>
    <w:p>
      <w:r>
        <w:rPr>
          <w:color w:val="555555"/>
          <w:sz w:val="18"/>
        </w:rPr>
        <w:t xml:space="preserve">Verbraucherstreitbeilegungs-Informationspflichtenverordnung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Evaluationsbericht der Verbraucherschlichtungsstelle (§ 34 Absatz 2 Satz 1 des Verbraucherstreitbeilegungsgesetzes) muss ergänzend zum Tätigkeitsbericht insbesondere folgende Informationen enthalten:</w:t>
      </w:r>
    </w:p>
    <w:p>
      <w:pPr>
        <w:ind w:left="420"/>
      </w:pPr>
      <w:r>
        <w:t xml:space="preserve">1. eine Bewertung der Effektivität des von der Verbraucherschlichtungsstelle angebotenen Verfahrens,</w:t>
      </w:r>
    </w:p>
    <w:p>
      <w:pPr>
        <w:ind w:left="420"/>
      </w:pPr>
      <w:r>
        <w:t xml:space="preserve">2. eine Bewertung der Organisations- und Finanzstruktur der Verbraucherschlichtungsstelle,</w:t>
      </w:r>
    </w:p>
    <w:p>
      <w:pPr>
        <w:ind w:left="420"/>
      </w:pPr>
      <w:r>
        <w:t xml:space="preserve">3. Angaben zu Schulungen der Streitmittler, ihrer Vertreter und ihrer Mitarbeiter,</w:t>
      </w:r>
    </w:p>
    <w:p>
      <w:pPr>
        <w:ind w:left="420"/>
      </w:pPr>
      <w:r>
        <w:t xml:space="preserve">4. eine Bewertung der Zusammenarbeit mit Verbraucherschlichtungsstellen in Netzwerken zur Beilegung grenzübergreifender Streitigkeiten.</w:t>
      </w:r>
    </w:p>
    <w:p>
      <w:r>
        <w:t xml:space="preserve">(2) Der Evaluationsbericht ist erstmals zum 1. Februar 2018 zu übermitteln und danach zum 1. Februar jedes geraden Kalenderjahres ab Anerkennung oder Einrichtung der Verbraucherschlichtungsstelle jeweils für die zwei vorangegangenen Kalenderjahre.</w:t>
      </w:r>
    </w:p>
    <w:p>
      <w:r>
        <w:rPr>
          <w:color w:val="555555"/>
          <w:sz w:val="17"/>
        </w:rPr>
        <w:t xml:space="preserve">Zitiervorschlag: § 5 VSBInfoV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https://recht.nulegal.eu/gesetze/VSBInfoV/5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