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VSBInfoV — Tätigkeitsbericht der Verbraucherschlichtungsstelle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Tätigkeitsbericht der Verbraucherschlichtungsstelle (§ 34 Absatz 1 des Verbraucherstreitbeilegungsgesetzes) muss insbesondere folgende Informationen enthalten:</w:t>
      </w:r>
    </w:p>
    <w:p>
      <w:pPr>
        <w:ind w:left="420"/>
      </w:pPr>
      <w:r>
        <w:t xml:space="preserve">1. statistische Angaben zu den Anträgen auf Durchführung eines Streitbeilegungsverfahrens, insbesondere</w:t>
      </w:r>
    </w:p>
    <w:p>
      <w:pPr>
        <w:ind w:left="780"/>
      </w:pPr>
      <w:r>
        <w:t xml:space="preserve">a) Anzahl der eingegangenen Anträge, untergliedert nach dem Gegenstand, auf den sie sich hauptsächlich beziehen,</w:t>
      </w:r>
    </w:p>
    <w:p>
      <w:pPr>
        <w:ind w:left="780"/>
      </w:pPr>
      <w:r>
        <w:t xml:space="preserve">b) Anteil der nach § 14 Absatz 1 und 2 des Verbraucherstreitbeilegungsgesetzes abgelehnten Anträge, untergliedert nach den Ablehnungsgründen,</w:t>
      </w:r>
    </w:p>
    <w:p>
      <w:pPr>
        <w:ind w:left="780"/>
      </w:pPr>
      <w:r>
        <w:t xml:space="preserve">c) Anteil der ergebnislos gebliebenen Verfahren (§ 21 Absatz 2 des Verbraucherstreitbeilegungsgesetzes),</w:t>
      </w:r>
    </w:p>
    <w:p>
      <w:pPr>
        <w:ind w:left="780"/>
      </w:pPr>
      <w:r>
        <w:t xml:space="preserve">d) durchschnittliche Dauer der Verfahren,</w:t>
      </w:r>
    </w:p>
    <w:p>
      <w:pPr>
        <w:ind w:left="780"/>
      </w:pPr>
      <w:r>
        <w:t xml:space="preserve">e) wenn bekannt, Anteil der Fälle, in denen sich die Parteien an das Ergebnis des Verfahrens gehalten haben,</w:t>
      </w:r>
    </w:p>
    <w:p>
      <w:pPr>
        <w:ind w:left="780"/>
      </w:pPr>
      <w:r>
        <w:t xml:space="preserve">f) wenn bekannt, Anteil der grenzübergreifenden Streitigkeiten,</w:t>
      </w:r>
    </w:p>
    <w:p>
      <w:pPr>
        <w:ind w:left="420"/>
      </w:pPr>
      <w:r>
        <w:t xml:space="preserve">2. Angaben zu Problemstellungen, die systematisch bedingt sind oder signifikant häufig auftraten und Anlass für Anträge auf Durchführung eines Streitbeilegungsverfahrens waren,</w:t>
      </w:r>
    </w:p>
    <w:p>
      <w:pPr>
        <w:ind w:left="420"/>
      </w:pPr>
      <w:r>
        <w:t xml:space="preserve">3. Empfehlungen zur Vermeidung oder zur Beilegung von häufig auftretenden Streitigkeiten zwischen Verbrauchern und Unternehmern, sofern die Verbraucherschlichtungsstelle aufgrund ihrer Tätigkeit hierzu Erkenntnisse hat,</w:t>
      </w:r>
    </w:p>
    <w:p>
      <w:pPr>
        <w:ind w:left="420"/>
      </w:pPr>
      <w:r>
        <w:t xml:space="preserve">4. Hinweise auf etwaige strukturelle Hindernisse für die Beilegung von Streitigkeiten, wobei diesbezügliche Erkenntnisse zu grenzübergreifenden Streitigkeiten gesondert darzustellen sind,</w:t>
      </w:r>
    </w:p>
    <w:p>
      <w:pPr>
        <w:ind w:left="420"/>
      </w:pPr>
      <w:r>
        <w:t xml:space="preserve">5. Angaben zur Zusammenarbeit mit anderen Verbraucherschlichtungsstellen in Netzwerken zur Beilegung grenzübergreifender Streitigkeiten.</w:t>
      </w:r>
    </w:p>
    <w:p>
      <w:r>
        <w:t xml:space="preserve">(2) Der Tätigkeitsbericht ist ab Anerkennung oder Einrichtung der Verbraucherschlichtungsstelle für jedes Kalenderjahr, jedoch erstmals für das Jahr 2016, bis zum 1. Februar des Folgejahres zu veröffentlichen.</w:t>
      </w:r>
    </w:p>
    <w:p>
      <w:r>
        <w:rPr>
          <w:color w:val="555555"/>
          <w:sz w:val="17"/>
        </w:rPr>
        <w:t xml:space="preserve">Zitiervorschlag: § 4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