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VSBG — Amtsdauer und Abberufung des Streitmittlers</w:t>
      </w:r>
    </w:p>
    <w:p>
      <w:r>
        <w:rPr>
          <w:color w:val="555555"/>
          <w:sz w:val="18"/>
        </w:rPr>
        <w:t xml:space="preserve">Verbraucherstreitbeilegungsgesetz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Streitmittler muss für eine angemessene Dauer bestellt werden. Die Amtsdauer soll drei Jahre nicht unterschreiten. Wiederbestellung ist zulässig.</w:t>
      </w:r>
    </w:p>
    <w:p>
      <w:r>
        <w:t xml:space="preserve">(2) Der Streitmittler kann nur abberufen werden, wenn</w:t>
      </w:r>
    </w:p>
    <w:p>
      <w:pPr>
        <w:ind w:left="420"/>
      </w:pPr>
      <w:r>
        <w:t xml:space="preserve">1. Tatsachen vorliegen, die eine unabhängige und unparteiische Ausübung der Tätigkeit als Streitmittler nicht mehr erwarten lassen,</w:t>
      </w:r>
    </w:p>
    <w:p>
      <w:pPr>
        <w:ind w:left="420"/>
      </w:pPr>
      <w:r>
        <w:t xml:space="preserve">2. er nicht nur vorübergehend an der Ausübung der Tätigkeit als Streitmittler gehindert ist oder</w:t>
      </w:r>
    </w:p>
    <w:p>
      <w:pPr>
        <w:ind w:left="420"/>
      </w:pPr>
      <w:r>
        <w:t xml:space="preserve">3. ein anderer wichtiger Grund vorliegt.</w:t>
      </w:r>
    </w:p>
    <w:p>
      <w:r>
        <w:rPr>
          <w:color w:val="555555"/>
          <w:sz w:val="17"/>
        </w:rPr>
        <w:t xml:space="preserve">Zitiervorschlag: § 8 VSBG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https://recht.nulegal.eu/gesetze/VSBG/8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