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VSBG — Unabhängigkeit und Unparteilichkeit des Streitmittlers</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Der Streitmittler ist unabhängig und an Weisungen nicht gebunden. Er muss Gewähr für eine unparteiische Streitbeilegung bieten.</w:t>
      </w:r>
    </w:p>
    <w:p>
      <w:r>
        <w:t xml:space="preserve">(2) Der Streitmittler darf nicht nur von einem Unternehmer oder von nur mit einem Unternehmer verbundenen Unternehmen vergütet oder beschäftigt werden. Die Vergütung des Streitmittlers darf nicht mit dem Ergebnis von Streitbeilegungsverfahren in Zusammenhang stehen.</w:t>
      </w:r>
    </w:p>
    <w:p>
      <w:r>
        <w:t xml:space="preserve">(3) Der Streitmittler ist verpflichtet, Umstände, die seine Unabhängigkeit oder Unparteilichkeit beeinträchtigen können, dem Träger der Verbraucherschlichtungsstelle unverzüglich offenzulegen.</w:t>
      </w:r>
    </w:p>
    <w:p>
      <w:r>
        <w:t xml:space="preserve">(4) Der Streitmittler hat den Parteien alle Umstände offenzulegen, die seine Unabhängigkeit oder Unparteilichkeit beeinträchtigen können. Der Streitmittler darf bei Vorliegen solcher Umstände nur dann tätig werden, wenn die Parteien seiner Tätigkeit als Streitmittler ausdrücklich zustimmen.</w:t>
      </w:r>
    </w:p>
    <w:p>
      <w:r>
        <w:t xml:space="preserve">(5) Ist die Aufgabe des Streitmittlers einem Gremium übertragen worden, dem sowohl Vertreter von Verbraucherinteressen als auch von Unternehmerinteressen angehören, so müssen beide Seiten in gleicher Anzahl vertreten sein. § 6 Absatz 3 ist auf Mitglieder des Gremiums, die Unternehmerinteressen oder Verbraucherinteressen vertreten, nicht anzuwenden.</w:t>
      </w:r>
    </w:p>
    <w:p>
      <w:r>
        <w:rPr>
          <w:color w:val="555555"/>
          <w:sz w:val="17"/>
        </w:rPr>
        <w:t xml:space="preserve">Zitiervorschlag: § 7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