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VSBG — Verfahrensordnung</w:t>
      </w:r>
    </w:p>
    <w:p>
      <w:r>
        <w:rPr>
          <w:color w:val="555555"/>
          <w:sz w:val="18"/>
        </w:rPr>
        <w:t xml:space="preserve">Verbraucherstreitbeilegungsgesetz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Verbraucherschlichtungsstelle muss eine Verfahrensordnung haben. Die Verfahrensordnung bestimmt das Konfliktbeilegungsverfahren und regelt die Einzelheiten seiner Durchführung.</w:t>
      </w:r>
    </w:p>
    <w:p>
      <w:r>
        <w:t xml:space="preserve">(2) Die Verbraucherschlichtungsstelle darf keine Konfliktbeilegungsverfahren durchführen, die dem Verbraucher eine verbindliche Lösung auferlegen oder die das Recht des Verbrauchers ausschließen, die Gerichte anzurufen.</w:t>
      </w:r>
    </w:p>
    <w:p>
      <w:r>
        <w:rPr>
          <w:color w:val="555555"/>
          <w:sz w:val="17"/>
        </w:rPr>
        <w:t xml:space="preserve">Zitiervorschlag: § 5 VSBG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