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VSBG — Verordnungsermächtigung</w:t>
      </w:r>
    </w:p>
    <w:p>
      <w:r>
        <w:rPr>
          <w:color w:val="555555"/>
          <w:sz w:val="18"/>
        </w:rPr>
        <w:t xml:space="preserve">Verbraucherstreitbeilegungsgesetz</w:t>
      </w:r>
    </w:p>
    <w:p>
      <w:r>
        <w:rPr>
          <w:color w:val="555555"/>
          <w:sz w:val="18"/>
        </w:rPr>
        <w:t xml:space="preserve">Stand: 30.06.2020 (konsolidierte Textfassung, kein amtliches Inkrafttretensdatum)</w:t>
      </w:r>
    </w:p>
    <w:p>
      <w:r>
        <w:t xml:space="preserve">(1) Das Bundesministerium der Justiz und für Verbraucherschutz wird ermächtigt, im Einvernehmen mit dem Bundesministerium für Wirtschaft und Energie durch Rechtsverordnung mit Zustimmung des Bundesrates</w:t>
      </w:r>
    </w:p>
    <w:p>
      <w:pPr>
        <w:ind w:left="420"/>
      </w:pPr>
      <w:r>
        <w:t xml:space="preserve">1. die Anforderungen an Inhalt und Form des Antrags auf Anerkennung als Verbraucherschlichtungsstelle nach § 25 Absatz 1 und an die beizufügenden Unterlagen und Belege näher zu bestimmen,</w:t>
      </w:r>
    </w:p>
    <w:p>
      <w:pPr>
        <w:ind w:left="420"/>
      </w:pPr>
      <w:r>
        <w:t xml:space="preserve">2. die Angaben zu einer Verbraucherschlichtungsstelle, die die zuständige Behörde nach § 32 Absatz 2 und 4 oder die Aufsichtsbehörde nach § 32 Absatz 3 und 4 der Zentralen Anlaufstelle für Verbraucherschlichtung mitzuteilen hat, näher zu bestimmen,</w:t>
      </w:r>
    </w:p>
    <w:p>
      <w:pPr>
        <w:ind w:left="420"/>
      </w:pPr>
      <w:r>
        <w:t xml:space="preserve">3. die Inhalte der Informationen, die die Verbraucherschlichtungsstelle auf ihrer Webseite nach § 10 Absatz 1 bereitzustellen hat, näher zu bestimmen und weitere Informationen für die Webseite vorzusehen,</w:t>
      </w:r>
    </w:p>
    <w:p>
      <w:pPr>
        <w:ind w:left="420"/>
      </w:pPr>
      <w:r>
        <w:t xml:space="preserve">4. Einzelheiten zu Inhalt und Form des Tätigkeitsberichts und des Evaluationsberichts der Verbraucherschlichtungsstelle nach § 34 Absatz 1 und 2, zu Inhalt und Form des Verbraucherschlichtungsberichts der Zentralen Anlaufstelle für Verbraucherschlichtung nach § 35 Absatz 1 und der Auswertungen der zuständigen Behörden und Aufsichtsbehörden nach § 35 Absatz 2 näher zu bestimmen,</w:t>
      </w:r>
    </w:p>
    <w:p>
      <w:pPr>
        <w:ind w:left="420"/>
      </w:pPr>
      <w:r>
        <w:t xml:space="preserve">5. die Zusammenarbeit der Verbraucherschlichtungsstellen zu regeln</w:t>
      </w:r>
    </w:p>
    <w:p>
      <w:pPr>
        <w:ind w:left="780"/>
      </w:pPr>
      <w:r>
        <w:t xml:space="preserve">a) nach § 34 Absatz 4 mit den nach § 2 des EU-Verbraucherschutzdurchführungsgesetzes zuständigen Behörden,</w:t>
      </w:r>
    </w:p>
    <w:p>
      <w:pPr>
        <w:ind w:left="780"/>
      </w:pPr>
      <w:r>
        <w:t xml:space="preserve">b) nach § 38 mit Streitbeilegungsstellen anderer Mitgliedstaaten der Europäischen Union oder eines sonstigen Vertragsstaats des Abkommens über den Europäischen Wirtschaftsraum.</w:t>
      </w:r>
    </w:p>
    <w:p>
      <w:r>
        <w:t xml:space="preserve">(2) Das Bundesministerium der Justiz und für Verbraucherschutz wird ermächtigt, durch Rechtsverordnung, die nicht der Zustimmung des Bundesrates bedarf, Folgendes zu regeln:</w:t>
      </w:r>
    </w:p>
    <w:p>
      <w:pPr>
        <w:ind w:left="420"/>
      </w:pPr>
      <w:r>
        <w:t xml:space="preserve">1. die Einzelheiten der Organisation und des Verfahrens der Universalschlichtung, insbesondere die Höhe der Gebühr, die von dem an einem Schlichtungsverfahren beteiligten Unternehmer durch eine behördliche Universalschlichtungsstelle des Bundes oder eine mit der Aufgabe der Universalschlichtungsstelle des Bundes einschließlich der Befugnis, für die Durchführung des Streitbeilegungsverfahrens Gebühren zu erheben, beliehene geeignete anerkannte Verbraucherschlichtungsstelle zu erheben ist, sowie die weiteren Voraussetzungen für eine Gebührenerhebung durch eine solche Stelle,</w:t>
      </w:r>
    </w:p>
    <w:p>
      <w:pPr>
        <w:ind w:left="420"/>
      </w:pPr>
      <w:r>
        <w:t xml:space="preserve">2. die Voraussetzungen für eine Beendigung der Beleihung oder der Beauftragung einer geeigneten anerkannten Verbraucherschlichtungsstelle mit der Aufgabe der Universalschlichtungsstelle durch den Bund.</w:t>
      </w:r>
    </w:p>
    <w:p>
      <w:r>
        <w:rPr>
          <w:color w:val="555555"/>
          <w:sz w:val="17"/>
        </w:rPr>
        <w:t xml:space="preserve">Zitiervorschlag: § 42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