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VSBG — Bußgeldvorschriften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 Absatz 2 Satz 1 sich als Verbraucherschlichtungsstelle bezeichnet oder</w:t>
      </w:r>
    </w:p>
    <w:p>
      <w:pPr>
        <w:ind w:left="420"/>
      </w:pPr>
      <w:r>
        <w:t xml:space="preserve">2. entgegen § 2 Absatz 2 Satz 2 eine Einrichtung als Verbraucherschlichtungsstelle bezeichnet.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Absatz 1 Nummer 1 des Gesetzes über Ordnungswidrigkeiten ist das Bundesamt für Justiz.</w:t>
      </w:r>
    </w:p>
    <w:p>
      <w:r>
        <w:rPr>
          <w:color w:val="555555"/>
          <w:sz w:val="17"/>
        </w:rPr>
        <w:t xml:space="preserve">Zitiervorschlag: § 41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