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VSBG — Unterstützung von Verbrauchern bei grenzübergreifenden Streitigkeiten</w:t>
      </w:r>
    </w:p>
    <w:p>
      <w:r>
        <w:rPr>
          <w:color w:val="555555"/>
          <w:sz w:val="18"/>
        </w:rPr>
        <w:t xml:space="preserve">Verbraucherstreitbeilegungsgesetz</w:t>
      </w:r>
    </w:p>
    <w:p>
      <w:r>
        <w:rPr>
          <w:color w:val="555555"/>
          <w:sz w:val="18"/>
        </w:rPr>
        <w:t xml:space="preserve">Stand: 18.12.2025 (konsolidierte Textfassung, kein amtliches Inkrafttretensdatum)</w:t>
      </w:r>
    </w:p>
    <w:p>
      <w:r>
        <w:t xml:space="preserve">(1) Das Bundesamt für Justiz unterstützt Verbraucher bei der Ermittlung der zuständigen Streitbeilegungsstelle in einem anderen Mitgliedstaat der Europäischen Union oder in einem sonstigen Vertragsstaat des Abkommens über den Europäischen Wirtschaftsraum.</w:t>
      </w:r>
    </w:p>
    <w:p>
      <w:r>
        <w:t xml:space="preserve">(2) Das Bundesamt für Justiz wird ermächtigt, eine juristische Person des Privatrechts, eine rechtsfähige Personengesellschaft oder eine andere geeignete Stelle mit der Aufgabe nach Absatz 1 zu beleihen. Der Beliehene hat die notwendige Gewähr für die ordnungsgemäße Erfüllung der ihm übertragenen Aufgabe zu bieten. Er bietet die notwendige Gewähr, wenn</w:t>
      </w:r>
    </w:p>
    <w:p>
      <w:pPr>
        <w:ind w:left="420"/>
      </w:pPr>
      <w:r>
        <w:t xml:space="preserve">1. er über die zur Erfüllung der ihm übertragenen Aufgabe notwendige Ausstattung und Organisation verfügt und</w:t>
      </w:r>
    </w:p>
    <w:p>
      <w:pPr>
        <w:ind w:left="420"/>
      </w:pPr>
      <w:r>
        <w:t xml:space="preserve">2. die Personen, die seine Geschäftsführung oder Vertretung wahrnehmen, zuverlässig und fachlich geeignet sind.</w:t>
      </w:r>
    </w:p>
    <w:p>
      <w:r>
        <w:t xml:space="preserve">Der Beliehene untersteht der Rechts- und Fachaufsicht des Bundesamts für Justiz.</w:t>
      </w:r>
    </w:p>
    <w:p>
      <w:r>
        <w:t xml:space="preserve">(3) Erfüllt der Beliehene die ihm nach Absatz 2 Satz 1 übertragene Aufgabe nicht sachgerecht, so kann das Bundesamt für Justiz unbeschadet des § 49 des Verwaltungsverfahrensgesetzes die Beleihung ohne Entschädigung beenden.</w:t>
      </w:r>
    </w:p>
    <w:p>
      <w:r>
        <w:t xml:space="preserve">(4) Der Beliehene kann die Beendigung der Beleihung jederzeit schriftlich verlangen. Dem Begehren ist innerhalb einer angemessenen Frist, die zur Fortführung der Aufgabenerfüllung erforderlich ist, zu entsprechen.</w:t>
      </w:r>
    </w:p>
    <w:p>
      <w:r>
        <w:t xml:space="preserve">(5) Das Bundesamt für Justiz macht die Beleihung im Bundesanzeiger bekannt.</w:t>
      </w:r>
    </w:p>
    <w:p>
      <w:r>
        <w:rPr>
          <w:color w:val="555555"/>
          <w:sz w:val="17"/>
        </w:rPr>
        <w:t xml:space="preserve">Zitiervorschlag: § 40 VSBG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https://recht.nulegal.eu/gesetze/VSBG/40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