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VSBG — Zentrale Anlaufstelle für Verbraucherschlichtung und Mitteilungspflichten der zuständigen Behörden und Aufsichtsbehörden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Das Bundesamt für Justiz ist zentrale Anlaufstelle für die Europäische Kommission (Zentrale Anlaufstelle für Verbraucherschlichtung).</w:t>
      </w:r>
    </w:p>
    <w:p>
      <w:r>
        <w:t xml:space="preserve">(2) Die zuständige Behörde teilt der Zentralen Anlaufstelle für Verbraucherschlichtung mit:</w:t>
      </w:r>
    </w:p>
    <w:p>
      <w:pPr>
        <w:ind w:left="420"/>
      </w:pPr>
      <w:r>
        <w:t xml:space="preserve">1. die Anerkennung sowie den Widerruf und die Rücknahme der Anerkennung einer privaten Verbraucherschlichtungsstelle; eine private Verbraucherschlichtungsstelle nach § 4 Absatz 2 Satz 1 und 2 ist entsprechend auszuweisen;</w:t>
      </w:r>
    </w:p>
    <w:p>
      <w:pPr>
        <w:ind w:left="420"/>
      </w:pPr>
      <w:r>
        <w:t xml:space="preserve">2. die Angaben, die für die Eintragung der privaten Verbraucherschlichtungsstelle in die Liste nach § 33 Absatz 1 erforderlich sind.</w:t>
      </w:r>
    </w:p>
    <w:p>
      <w:r>
        <w:t xml:space="preserve">(3) Die für die Aufsicht einer behördlichen Verbraucherschlichtungsstelle zuständige Behörde (Aufsichtsbehörde) teilt der Zentralen Anlaufstelle für Verbraucherschlichtung mit:</w:t>
      </w:r>
    </w:p>
    <w:p>
      <w:pPr>
        <w:ind w:left="420"/>
      </w:pPr>
      <w:r>
        <w:t xml:space="preserve">1. die Errichtung und die Auflösung einer behördlichen Verbraucherschlichtungsstelle;</w:t>
      </w:r>
    </w:p>
    <w:p>
      <w:pPr>
        <w:ind w:left="420"/>
      </w:pPr>
      <w:r>
        <w:t xml:space="preserve">2. die für die Eintragung der behördlichen Verbraucherschlichtungsstelle in die Liste der Verbraucherschlichtungsstellen (§ 33 Absatz 1) erforderlichen Angaben.</w:t>
      </w:r>
    </w:p>
    <w:p>
      <w:r>
        <w:t xml:space="preserve">(4) Änderungen der Angaben nach den Absätzen 2 und 3 sind der Zentralen Anlaufstelle für Verbraucherschlichtung unverzüglich mitzuteilen.</w:t>
      </w:r>
    </w:p>
    <w:p>
      <w:r>
        <w:rPr>
          <w:color w:val="555555"/>
          <w:sz w:val="17"/>
        </w:rPr>
        <w:t xml:space="preserve">Zitiervorschlag: § 32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