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VSBG — Träger der Verbraucherschlichtungsstelle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Träger der Verbraucherschlichtungsstelle muss ein eingetragener Verein sein. Für den Betrieb der Verbraucherschlichtungsstelle muss ein vom Haushalt des Trägers getrennter, zweckgebundener und ausreichender Haushalt zur Verfügung stehen, wenn der Träger</w:t>
      </w:r>
    </w:p>
    <w:p>
      <w:pPr>
        <w:ind w:left="420"/>
      </w:pPr>
      <w:r>
        <w:t xml:space="preserve">1. Unternehmerinteressen oder Verbraucherinteressen wahrnimmt oder</w:t>
      </w:r>
    </w:p>
    <w:p>
      <w:pPr>
        <w:ind w:left="420"/>
      </w:pPr>
      <w:r>
        <w:t xml:space="preserve">2. ausschließlich oder überwiegend wie folgt finanziert wird:</w:t>
      </w:r>
    </w:p>
    <w:p>
      <w:pPr>
        <w:ind w:left="780"/>
      </w:pPr>
      <w:r>
        <w:t xml:space="preserve">a) von einem eingetragenen Verein, der Unternehmerinteressen wahrnimmt (Unternehmerverband), oder</w:t>
      </w:r>
    </w:p>
    <w:p>
      <w:pPr>
        <w:ind w:left="780"/>
      </w:pPr>
      <w:r>
        <w:t xml:space="preserve">b) von einem eingetragenen Verein, der Verbraucherinteressen wahrnimmt (Verbraucherverband), oder</w:t>
      </w:r>
    </w:p>
    <w:p>
      <w:pPr>
        <w:ind w:left="780"/>
      </w:pPr>
      <w:r>
        <w:t xml:space="preserve">c) von einem Unternehmer oder mehreren Unternehmern.</w:t>
      </w:r>
    </w:p>
    <w:p>
      <w:r>
        <w:rPr>
          <w:color w:val="555555"/>
          <w:sz w:val="17"/>
        </w:rPr>
        <w:t xml:space="preserve">Zitiervorschlag: § 3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