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VSBG — Widerruf der Anerkennung</w:t>
      </w:r>
    </w:p>
    <w:p>
      <w:r>
        <w:rPr>
          <w:color w:val="555555"/>
          <w:sz w:val="18"/>
        </w:rPr>
        <w:t xml:space="preserve">Verbraucherstreitbeilegungsgesetz</w:t>
      </w:r>
    </w:p>
    <w:p>
      <w:r>
        <w:rPr>
          <w:color w:val="555555"/>
          <w:sz w:val="18"/>
        </w:rPr>
        <w:t xml:space="preserve">Stand: 10.01.2020 (konsolidierte Textfassung, kein amtliches Inkrafttretensdatum)</w:t>
      </w:r>
    </w:p>
    <w:p>
      <w:r>
        <w:t xml:space="preserve">(1) Erfüllt die Verbraucherschlichtungsstelle die für ihre Anerkennung notwendigen Voraussetzungen nicht mehr oder verstößt sie bei ihrer Tätigkeit systematisch gegen gesetzliche Vorschriften oder ihre eigene Verfahrensordnung, so hat die zuständige Behörde den Träger der Verbraucherschlichtungsstelle in Textform aufzufordern, die notwendigen Maßnahmen zu treffen, um die Widerrufsgründe innerhalb von drei Monaten nach Zugang der Aufforderung zu beseitigen.</w:t>
      </w:r>
    </w:p>
    <w:p>
      <w:r>
        <w:t xml:space="preserve">(2) Die zuständige Behörde hat die Anerkennung zu widerrufen, wenn der Träger die Widerrufsgründe innerhalb der gesetzten Frist nicht beseitigt.</w:t>
      </w:r>
    </w:p>
    <w:p>
      <w:r>
        <w:t xml:space="preserve">(3) Wird die Anerkennung widerrufen, ist die Eintragung der Verbraucherschlichtungsstelle in der Liste der Verbraucherschlichtungsstellen nach § 33 des Verbraucherstreitbeilegungsgesetzes zu löschen.</w:t>
      </w:r>
    </w:p>
    <w:p>
      <w:r>
        <w:rPr>
          <w:color w:val="555555"/>
          <w:sz w:val="17"/>
        </w:rPr>
        <w:t xml:space="preserve">Zitiervorschlag: § 26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