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VSBG — Antrag auf Anerkennung und Mitteilung von Änderungen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Anerkennung als Verbraucherschlichtungsstelle ist zu begründen. Dem Antrag sind beizufügen:</w:t>
      </w:r>
    </w:p>
    <w:p>
      <w:pPr>
        <w:ind w:left="420"/>
      </w:pPr>
      <w:r>
        <w:t xml:space="preserve">1. die Verfahrensordnung der Einrichtung und</w:t>
      </w:r>
    </w:p>
    <w:p>
      <w:pPr>
        <w:ind w:left="420"/>
      </w:pPr>
      <w:r>
        <w:t xml:space="preserve">2. die Regeln über die Organisation und die Finanzierung der Einrichtung, einschließlich der Regeln über die Verfahrenskosten.</w:t>
      </w:r>
    </w:p>
    <w:p>
      <w:r>
        <w:t xml:space="preserve">(2) Die Verbraucherschlichtungsstelle unterrichtet die zuständige Behörde unverzüglich über Änderungen der für die Anerkennung relevanten Umstände und sonstiger im Antrag mitgeteilter Angaben.</w:t>
      </w:r>
    </w:p>
    <w:p>
      <w:r>
        <w:t xml:space="preserve">(3) Das Ergebnis einer nach § 9 erforderlichen Beteiligung eines Verbraucherverbands oder eines Unternehmerverbands ist der zuständigen Behörde zusammen mit den Angaben nach den Absätzen 1 oder 2 zu übermitteln. Abweichungen von Empfehlungen des beteiligten Verbands sind zu begründen, es sei denn, der Verband hat als Mitglied eines paritätisch besetzten Gremiums an der Entscheidung mitgewirkt.</w:t>
      </w:r>
    </w:p>
    <w:p>
      <w:r>
        <w:rPr>
          <w:color w:val="555555"/>
          <w:sz w:val="17"/>
        </w:rPr>
        <w:t xml:space="preserve">Zitiervorschlag: § 25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