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VSBG — Anerkennung</w:t>
      </w:r>
    </w:p>
    <w:p>
      <w:r>
        <w:rPr>
          <w:color w:val="555555"/>
          <w:sz w:val="18"/>
        </w:rPr>
        <w:t xml:space="preserve">Verbraucherstreitbeilegungsgesetz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erkennt auf Antrag eine Einrichtung als Verbraucherschlichtungsstelle an, wenn die Einrichtung die organisatorischen und fachlichen Anforderungen an die Streitbeilegung in Verbrauchersachen nach den Abschnitten 2 und 3 erfüllt, die Einrichtung ihren Sitz im Inland hat, auf Dauer angelegt ist und ihre Finanzierung tragfähig erscheint. Weitergehende Anforderungen an die Einrichtung, die sich aus anderen Rechtsvorschriften ergeben, bleiben unberührt.</w:t>
      </w:r>
    </w:p>
    <w:p>
      <w:r>
        <w:rPr>
          <w:color w:val="555555"/>
          <w:sz w:val="17"/>
        </w:rPr>
        <w:t xml:space="preserve">Zitiervorschlag: § 24 VSBG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