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VSBG — Verfahrensdauer</w:t>
      </w:r>
    </w:p>
    <w:p>
      <w:r>
        <w:rPr>
          <w:color w:val="555555"/>
          <w:sz w:val="18"/>
        </w:rPr>
        <w:t xml:space="preserve">Verbraucherstreitbeilegungsgesetz</w:t>
      </w:r>
    </w:p>
    <w:p>
      <w:r>
        <w:rPr>
          <w:color w:val="555555"/>
          <w:sz w:val="18"/>
        </w:rPr>
        <w:t xml:space="preserve">Stand: 10.06.2019 (konsolidierte Textfassung, kein amtliches Inkrafttretensdatum)</w:t>
      </w:r>
    </w:p>
    <w:p>
      <w:r>
        <w:t xml:space="preserve">(1) Die Verbraucherschlichtungsstelle benachrichtigt die Parteien, sobald sie keine weiteren Unterlagen und Informationen mehr benötigt (Eingang der vollständigen Beschwerdeakte). Der Eingang der vollständigen Beschwerdeakte ist in der Regel anzunehmen, wenn die Parteien nach § 17 Absatz 1 Gelegenheit zur Stellungnahme hatten.</w:t>
      </w:r>
    </w:p>
    <w:p>
      <w:r>
        <w:t xml:space="preserve">(2) Die Verbraucherschlichtungsstelle übermittelt den Parteien den Schlichtungsvorschlag oder, sofern kein Schlichtungsvorschlag zu unterbreiten ist, den Inhalt der Einigung über die Beilegung der Streitigkeit oder den Hinweis auf die Nichteinigung innerhalb von 90 Tagen nach Eingang der vollständigen Beschwerdeakte.</w:t>
      </w:r>
    </w:p>
    <w:p>
      <w:r>
        <w:t xml:space="preserve">(3) Die Verbraucherschlichtungsstelle kann die Frist von 90 Tagen bei besonders schwierigen Streitigkeiten oder mit Zustimmung der Parteien verlängern. Sie unterrichtet die Parteien über die Verlängerung der Frist.</w:t>
      </w:r>
    </w:p>
    <w:p>
      <w:r>
        <w:rPr>
          <w:color w:val="555555"/>
          <w:sz w:val="17"/>
        </w:rPr>
        <w:t xml:space="preserve">Zitiervorschlag: § 20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